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23E25C">
      <w:pPr>
        <w:ind w:firstLine="426"/>
        <w:jc w:val="center"/>
        <w:rPr>
          <w:rFonts w:hint="eastAsia" w:asciiTheme="minorEastAsia" w:hAnsiTheme="minorEastAsia" w:eastAsiaTheme="minorEastAsia" w:cstheme="minorEastAsia"/>
          <w:b/>
          <w:bCs/>
          <w:sz w:val="32"/>
          <w:szCs w:val="24"/>
        </w:rPr>
      </w:pPr>
      <w:r>
        <w:rPr>
          <w:rFonts w:hint="eastAsia" w:asciiTheme="minorEastAsia" w:hAnsiTheme="minorEastAsia" w:cstheme="minorEastAsia"/>
          <w:b/>
          <w:bCs/>
          <w:sz w:val="32"/>
          <w:szCs w:val="32"/>
          <w:lang w:val="en-US" w:eastAsia="zh-CN"/>
        </w:rPr>
        <w:t>云南省第一人民医院</w:t>
      </w:r>
      <w:r>
        <w:rPr>
          <w:rFonts w:hint="eastAsia" w:asciiTheme="minorEastAsia" w:hAnsiTheme="minorEastAsia" w:eastAsiaTheme="minorEastAsia" w:cstheme="minorEastAsia"/>
          <w:b/>
          <w:bCs/>
          <w:sz w:val="32"/>
          <w:szCs w:val="24"/>
        </w:rPr>
        <w:t>药物</w:t>
      </w:r>
      <w:r>
        <w:rPr>
          <w:rFonts w:hint="eastAsia" w:asciiTheme="minorEastAsia" w:hAnsiTheme="minorEastAsia" w:eastAsiaTheme="minorEastAsia" w:cstheme="minorEastAsia"/>
          <w:b/>
          <w:bCs/>
          <w:sz w:val="32"/>
          <w:szCs w:val="24"/>
          <w:lang w:val="en-US" w:eastAsia="zh-CN"/>
        </w:rPr>
        <w:t>/医疗器械</w:t>
      </w:r>
      <w:r>
        <w:rPr>
          <w:rFonts w:hint="eastAsia" w:asciiTheme="minorEastAsia" w:hAnsiTheme="minorEastAsia" w:eastAsiaTheme="minorEastAsia" w:cstheme="minorEastAsia"/>
          <w:b/>
          <w:bCs/>
          <w:sz w:val="32"/>
          <w:szCs w:val="24"/>
        </w:rPr>
        <w:t>临床试验伦理委员会</w:t>
      </w:r>
    </w:p>
    <w:p w14:paraId="57AF98EB">
      <w:pPr>
        <w:spacing w:line="360" w:lineRule="auto"/>
        <w:ind w:firstLine="426"/>
        <w:jc w:val="center"/>
        <w:rPr>
          <w:rFonts w:hint="eastAsia" w:asciiTheme="minorEastAsia" w:hAnsiTheme="minorEastAsia" w:eastAsiaTheme="minorEastAsia" w:cstheme="minorEastAsia"/>
          <w:b/>
          <w:bCs/>
          <w:sz w:val="32"/>
          <w:szCs w:val="24"/>
        </w:rPr>
      </w:pPr>
      <w:r>
        <w:rPr>
          <w:rFonts w:hint="eastAsia" w:asciiTheme="minorEastAsia" w:hAnsiTheme="minorEastAsia" w:eastAsiaTheme="minorEastAsia" w:cstheme="minorEastAsia"/>
          <w:b/>
          <w:bCs/>
          <w:sz w:val="32"/>
          <w:szCs w:val="24"/>
        </w:rPr>
        <w:t>研究者送审指南</w:t>
      </w:r>
    </w:p>
    <w:p w14:paraId="068A63BD">
      <w:pPr>
        <w:spacing w:line="360" w:lineRule="auto"/>
        <w:ind w:firstLine="567"/>
        <w:jc w:val="left"/>
        <w:rPr>
          <w:rFonts w:ascii="Times New Roman" w:hAnsi="Times New Roman" w:cs="Times New Roman"/>
          <w:sz w:val="24"/>
          <w:szCs w:val="24"/>
        </w:rPr>
      </w:pPr>
      <w:r>
        <w:rPr>
          <w:rFonts w:ascii="Times New Roman" w:hAnsi="Times New Roman" w:cs="Times New Roman"/>
          <w:sz w:val="24"/>
          <w:szCs w:val="24"/>
        </w:rPr>
        <w:t>根据国家药品监督管理局《药物临床试验质量管理规范》(2020)、《药物临床试验伦理审查工作指导原则》(2010)，</w:t>
      </w:r>
      <w:r>
        <w:rPr>
          <w:rFonts w:hint="eastAsia" w:ascii="宋体" w:hAnsi="宋体" w:eastAsia="宋体"/>
          <w:sz w:val="24"/>
          <w:szCs w:val="24"/>
        </w:rPr>
        <w:t>国家卫生健康委等四部委联合发布的</w:t>
      </w:r>
      <w:r>
        <w:rPr>
          <w:rFonts w:ascii="Times New Roman" w:hAnsi="Times New Roman" w:cs="Times New Roman"/>
          <w:sz w:val="24"/>
          <w:szCs w:val="24"/>
        </w:rPr>
        <w:t>《涉及人的生命科学和医学研究伦理审查办法》(20</w:t>
      </w:r>
      <w:r>
        <w:rPr>
          <w:rFonts w:hint="eastAsia" w:ascii="Times New Roman" w:hAnsi="Times New Roman" w:cs="Times New Roman"/>
          <w:sz w:val="24"/>
          <w:szCs w:val="24"/>
        </w:rPr>
        <w:t>23</w:t>
      </w:r>
      <w:r>
        <w:rPr>
          <w:rFonts w:ascii="Times New Roman" w:hAnsi="Times New Roman" w:cs="Times New Roman"/>
          <w:sz w:val="24"/>
          <w:szCs w:val="24"/>
        </w:rPr>
        <w:t>)，国家中医药管理局《中医药临床研究伦理审查管理规范》(2010)以及世界医学会《赫尔辛基宣言》，WHO《生物医学研究审查伦理委员会操作指南》(2000)等伦理指南的要求，云南省第一人民医院授权云南省第一人民医院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临床试验伦理委员会对本院开展的</w:t>
      </w:r>
      <w:r>
        <w:rPr>
          <w:rFonts w:hint="eastAsia" w:ascii="Times New Roman" w:hAnsi="Times New Roman" w:cs="Times New Roman"/>
          <w:sz w:val="24"/>
          <w:szCs w:val="24"/>
        </w:rPr>
        <w:t>药物、医疗器械临床</w:t>
      </w:r>
      <w:r>
        <w:rPr>
          <w:rFonts w:ascii="Times New Roman" w:hAnsi="Times New Roman" w:cs="Times New Roman"/>
          <w:sz w:val="24"/>
          <w:szCs w:val="24"/>
        </w:rPr>
        <w:t>研究项目进行审查。为帮助开展</w:t>
      </w:r>
      <w:r>
        <w:rPr>
          <w:rFonts w:hint="eastAsia" w:ascii="Times New Roman" w:hAnsi="Times New Roman" w:cs="Times New Roman"/>
          <w:sz w:val="24"/>
          <w:szCs w:val="24"/>
        </w:rPr>
        <w:t>药物、医疗器械临床</w:t>
      </w:r>
      <w:r>
        <w:rPr>
          <w:rFonts w:ascii="Times New Roman" w:hAnsi="Times New Roman" w:cs="Times New Roman"/>
          <w:sz w:val="24"/>
          <w:szCs w:val="24"/>
        </w:rPr>
        <w:t>研究项目的研究者提交伦理审查，特制定本指南。</w:t>
      </w:r>
    </w:p>
    <w:p w14:paraId="06210083">
      <w:pPr>
        <w:spacing w:line="360" w:lineRule="auto"/>
        <w:ind w:firstLine="426"/>
        <w:jc w:val="left"/>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w:t>
      </w:r>
      <w:r>
        <w:rPr>
          <w:rFonts w:ascii="Times New Roman" w:hAnsi="Times New Roman" w:cs="Times New Roman"/>
          <w:sz w:val="24"/>
          <w:szCs w:val="24"/>
        </w:rPr>
        <w:t>提交伦理审查的研究项目范围：药物临床试验；</w:t>
      </w:r>
      <w:r>
        <w:rPr>
          <w:rFonts w:hint="eastAsia" w:ascii="Times New Roman" w:hAnsi="Times New Roman" w:cs="Times New Roman"/>
          <w:sz w:val="24"/>
          <w:szCs w:val="24"/>
        </w:rPr>
        <w:t>医疗器械临床试验</w:t>
      </w:r>
    </w:p>
    <w:p w14:paraId="3B1D5391">
      <w:pPr>
        <w:spacing w:line="360" w:lineRule="auto"/>
        <w:ind w:firstLine="426"/>
        <w:jc w:val="left"/>
        <w:rPr>
          <w:rFonts w:ascii="Times New Roman" w:hAnsi="Times New Roman" w:cs="Times New Roman"/>
          <w:sz w:val="24"/>
          <w:szCs w:val="24"/>
        </w:rPr>
      </w:pPr>
      <w:r>
        <w:rPr>
          <w:rFonts w:ascii="Times New Roman" w:hAnsi="Times New Roman" w:cs="Times New Roman"/>
          <w:sz w:val="24"/>
          <w:szCs w:val="24"/>
        </w:rPr>
        <w:t>2、提交伦理审查要求(所有提交初始伦理审查的项目均需</w:t>
      </w:r>
      <w:r>
        <w:rPr>
          <w:rFonts w:hint="eastAsia" w:ascii="Times New Roman" w:hAnsi="Times New Roman" w:cs="Times New Roman"/>
          <w:sz w:val="24"/>
          <w:szCs w:val="24"/>
        </w:rPr>
        <w:t>通过</w:t>
      </w:r>
      <w:r>
        <w:rPr>
          <w:rFonts w:ascii="Times New Roman" w:hAnsi="Times New Roman" w:cs="Times New Roman"/>
          <w:sz w:val="24"/>
          <w:szCs w:val="24"/>
        </w:rPr>
        <w:t>本院药物</w:t>
      </w:r>
      <w:r>
        <w:rPr>
          <w:rFonts w:hint="eastAsia" w:ascii="Times New Roman" w:hAnsi="Times New Roman" w:cs="Times New Roman"/>
          <w:sz w:val="24"/>
          <w:szCs w:val="24"/>
        </w:rPr>
        <w:t>与医疗器械</w:t>
      </w:r>
      <w:r>
        <w:rPr>
          <w:rFonts w:ascii="Times New Roman" w:hAnsi="Times New Roman" w:cs="Times New Roman"/>
          <w:sz w:val="24"/>
          <w:szCs w:val="24"/>
        </w:rPr>
        <w:t>临床试验机构</w:t>
      </w:r>
      <w:r>
        <w:rPr>
          <w:rFonts w:hint="eastAsia" w:ascii="Times New Roman" w:hAnsi="Times New Roman" w:cs="Times New Roman"/>
          <w:sz w:val="24"/>
          <w:szCs w:val="24"/>
        </w:rPr>
        <w:t>立项</w:t>
      </w:r>
      <w:r>
        <w:rPr>
          <w:rFonts w:ascii="Times New Roman" w:hAnsi="Times New Roman" w:cs="Times New Roman"/>
          <w:sz w:val="24"/>
          <w:szCs w:val="24"/>
        </w:rPr>
        <w:t>；所有申请须同时提供电子版和纸质版申请材料)</w:t>
      </w:r>
    </w:p>
    <w:p w14:paraId="6F1BC16E">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lang w:eastAsia="zh-CN"/>
        </w:rPr>
        <w:t>）</w:t>
      </w:r>
      <w:r>
        <w:rPr>
          <w:rFonts w:ascii="Times New Roman" w:hAnsi="Times New Roman" w:cs="Times New Roman"/>
          <w:sz w:val="24"/>
          <w:szCs w:val="24"/>
        </w:rPr>
        <w:t>一般由对该项研究的伦理和科学行为负责的、有资格的研究者和/或申办者提交</w:t>
      </w:r>
      <w:r>
        <w:rPr>
          <w:rFonts w:hint="eastAsia" w:ascii="Times New Roman" w:hAnsi="Times New Roman" w:cs="Times New Roman"/>
          <w:sz w:val="24"/>
          <w:szCs w:val="24"/>
        </w:rPr>
        <w:t>药物、医疗器械临床</w:t>
      </w:r>
      <w:r>
        <w:rPr>
          <w:rFonts w:ascii="Times New Roman" w:hAnsi="Times New Roman" w:cs="Times New Roman"/>
          <w:sz w:val="24"/>
          <w:szCs w:val="24"/>
        </w:rPr>
        <w:t>研究伦理审查的申请和相关材料，包括临床试验的初始审查、跟踪审查和修正案审查，研究有关补充材料的审查等。</w:t>
      </w:r>
    </w:p>
    <w:p w14:paraId="16D89E69">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r>
        <w:rPr>
          <w:rFonts w:hint="eastAsia" w:ascii="Times New Roman" w:hAnsi="Times New Roman" w:cs="Times New Roman"/>
          <w:sz w:val="24"/>
          <w:szCs w:val="24"/>
          <w:lang w:eastAsia="zh-CN"/>
        </w:rPr>
        <w:t>）</w:t>
      </w:r>
      <w:r>
        <w:rPr>
          <w:rFonts w:ascii="Times New Roman" w:hAnsi="Times New Roman" w:cs="Times New Roman"/>
          <w:sz w:val="24"/>
          <w:szCs w:val="24"/>
        </w:rPr>
        <w:t>所有的临床研究方案必须经药物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临床试验伦理委员会审</w:t>
      </w:r>
      <w:r>
        <w:rPr>
          <w:rFonts w:hint="eastAsia" w:ascii="Times New Roman" w:hAnsi="Times New Roman" w:cs="Times New Roman"/>
          <w:sz w:val="24"/>
          <w:szCs w:val="24"/>
        </w:rPr>
        <w:t>查</w:t>
      </w:r>
      <w:r>
        <w:rPr>
          <w:rFonts w:ascii="Times New Roman" w:hAnsi="Times New Roman" w:cs="Times New Roman"/>
          <w:sz w:val="24"/>
          <w:szCs w:val="24"/>
        </w:rPr>
        <w:t>同意并签署批准意见后方可实施。</w:t>
      </w:r>
    </w:p>
    <w:p w14:paraId="0F41E8F4">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r>
        <w:rPr>
          <w:rFonts w:hint="eastAsia" w:ascii="Times New Roman" w:hAnsi="Times New Roman" w:cs="Times New Roman"/>
          <w:sz w:val="24"/>
          <w:szCs w:val="24"/>
          <w:lang w:eastAsia="zh-CN"/>
        </w:rPr>
        <w:t>）</w:t>
      </w:r>
      <w:r>
        <w:rPr>
          <w:rFonts w:ascii="Times New Roman" w:hAnsi="Times New Roman" w:cs="Times New Roman"/>
          <w:sz w:val="24"/>
          <w:szCs w:val="24"/>
        </w:rPr>
        <w:t>在进行研究期间，临床研究方案的任何修改，均应经药物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临床试验伦理委员会批准后方可实施。包括(但不限于)涉及以下方面的修改：</w:t>
      </w:r>
    </w:p>
    <w:p w14:paraId="6E92A511">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目标受试人群；</w:t>
      </w:r>
    </w:p>
    <w:p w14:paraId="3E2A6113">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招募计划；</w:t>
      </w:r>
    </w:p>
    <w:p w14:paraId="4D7625EF">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招募广告材料；</w:t>
      </w:r>
    </w:p>
    <w:p w14:paraId="27375ADF">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知情同意书；</w:t>
      </w:r>
    </w:p>
    <w:p w14:paraId="5DC6CFA1">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研究程序；</w:t>
      </w:r>
    </w:p>
    <w:p w14:paraId="71301051">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研究设备；</w:t>
      </w:r>
    </w:p>
    <w:p w14:paraId="67C1E24A">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试验中心；</w:t>
      </w:r>
    </w:p>
    <w:p w14:paraId="6209EDD3">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各试验中心主要研究者；</w:t>
      </w:r>
    </w:p>
    <w:p w14:paraId="6E3A2856">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与试验有关的其他材料。</w:t>
      </w:r>
    </w:p>
    <w:p w14:paraId="68A136A2">
      <w:pPr>
        <w:spacing w:line="360" w:lineRule="auto"/>
        <w:ind w:firstLine="426"/>
        <w:jc w:val="left"/>
        <w:rPr>
          <w:rFonts w:ascii="Times New Roman" w:hAnsi="Times New Roman" w:cs="Times New Roman"/>
          <w:sz w:val="24"/>
          <w:szCs w:val="24"/>
        </w:rPr>
      </w:pPr>
      <w:r>
        <w:rPr>
          <w:rFonts w:ascii="Times New Roman" w:hAnsi="Times New Roman" w:cs="Times New Roman"/>
          <w:sz w:val="24"/>
          <w:szCs w:val="24"/>
        </w:rPr>
        <w:t>注：避免对研究参与者紧急伤害的修正案等可以先执行，然后及时报告。</w:t>
      </w:r>
    </w:p>
    <w:p w14:paraId="0BB9C9DC">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w:t>
      </w:r>
      <w:r>
        <w:rPr>
          <w:rFonts w:hint="eastAsia" w:ascii="Times New Roman" w:hAnsi="Times New Roman" w:cs="Times New Roman"/>
          <w:sz w:val="24"/>
          <w:szCs w:val="24"/>
          <w:lang w:eastAsia="zh-CN"/>
        </w:rPr>
        <w:t>）</w:t>
      </w:r>
      <w:r>
        <w:rPr>
          <w:rFonts w:ascii="Times New Roman" w:hAnsi="Times New Roman" w:cs="Times New Roman"/>
          <w:sz w:val="24"/>
          <w:szCs w:val="24"/>
        </w:rPr>
        <w:t>临床研究中发生严重不良事件，应该在发生后及时报告；致死的不良反应，应以最快的通讯方式(如电话、传真、E-mail等)报告。</w:t>
      </w:r>
    </w:p>
    <w:p w14:paraId="167E948F">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5</w:t>
      </w:r>
      <w:r>
        <w:rPr>
          <w:rFonts w:hint="eastAsia" w:ascii="Times New Roman" w:hAnsi="Times New Roman" w:cs="Times New Roman"/>
          <w:sz w:val="24"/>
          <w:szCs w:val="24"/>
          <w:lang w:eastAsia="zh-CN"/>
        </w:rPr>
        <w:t>）</w:t>
      </w:r>
      <w:r>
        <w:rPr>
          <w:rFonts w:hint="eastAsia" w:ascii="Times New Roman" w:hAnsi="Times New Roman" w:cs="Times New Roman"/>
          <w:bCs/>
          <w:sz w:val="24"/>
          <w:szCs w:val="24"/>
        </w:rPr>
        <w:t>申办方提供的外院</w:t>
      </w:r>
      <w:r>
        <w:rPr>
          <w:rFonts w:hint="eastAsia" w:ascii="Times New Roman" w:hAnsi="Times New Roman" w:cs="Times New Roman"/>
          <w:sz w:val="24"/>
          <w:szCs w:val="24"/>
        </w:rPr>
        <w:t>可疑且非预期严重不良反应报告、其他潜在的安全性风险信息的报告及定期安全性报告</w:t>
      </w:r>
      <w:r>
        <w:rPr>
          <w:rFonts w:ascii="Times New Roman" w:hAnsi="Times New Roman" w:cs="Times New Roman"/>
          <w:sz w:val="24"/>
          <w:szCs w:val="24"/>
        </w:rPr>
        <w:t>，</w:t>
      </w:r>
      <w:r>
        <w:rPr>
          <w:rFonts w:hint="eastAsia" w:ascii="Times New Roman" w:hAnsi="Times New Roman" w:cs="Times New Roman"/>
          <w:sz w:val="24"/>
          <w:szCs w:val="24"/>
        </w:rPr>
        <w:t>申请人</w:t>
      </w:r>
      <w:r>
        <w:rPr>
          <w:rFonts w:hint="eastAsia" w:ascii="Times New Roman" w:hAnsi="Times New Roman" w:cs="Times New Roman"/>
          <w:sz w:val="24"/>
          <w:szCs w:val="24"/>
          <w:lang w:val="en-US" w:eastAsia="zh-CN"/>
        </w:rPr>
        <w:t>每季度</w:t>
      </w:r>
      <w:r>
        <w:rPr>
          <w:rFonts w:hint="eastAsia" w:ascii="Times New Roman" w:hAnsi="Times New Roman" w:cs="Times New Roman"/>
          <w:sz w:val="24"/>
          <w:szCs w:val="24"/>
        </w:rPr>
        <w:t>向伦理委员会提交</w:t>
      </w:r>
      <w:r>
        <w:rPr>
          <w:rFonts w:hint="eastAsia" w:ascii="Times New Roman" w:hAnsi="Times New Roman" w:cs="Times New Roman"/>
          <w:sz w:val="24"/>
          <w:szCs w:val="24"/>
          <w:lang w:val="en-US" w:eastAsia="zh-CN"/>
        </w:rPr>
        <w:t>一次</w:t>
      </w:r>
      <w:r>
        <w:rPr>
          <w:rFonts w:hint="eastAsia" w:ascii="Times New Roman" w:hAnsi="Times New Roman" w:cs="Times New Roman"/>
          <w:sz w:val="24"/>
          <w:szCs w:val="24"/>
        </w:rPr>
        <w:t>，进行安全性审查。</w:t>
      </w:r>
    </w:p>
    <w:p w14:paraId="1115EB6C">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lang w:eastAsia="zh-CN"/>
        </w:rPr>
        <w:t>）</w:t>
      </w:r>
      <w:r>
        <w:rPr>
          <w:rFonts w:ascii="Times New Roman" w:hAnsi="Times New Roman" w:cs="Times New Roman"/>
          <w:sz w:val="24"/>
          <w:szCs w:val="24"/>
        </w:rPr>
        <w:t>所有批准的临床研究均需在药物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临床试验伦理委员会审查批件</w:t>
      </w:r>
      <w:r>
        <w:rPr>
          <w:rFonts w:hint="eastAsia" w:ascii="Helvetica CE" w:hAnsi="Helvetica CE" w:cs="Times New Roman"/>
          <w:spacing w:val="-2"/>
          <w:sz w:val="24"/>
          <w:szCs w:val="24"/>
        </w:rPr>
        <w:t>规定的年度</w:t>
      </w:r>
      <w:r>
        <w:rPr>
          <w:rFonts w:ascii="Helvetica CE" w:hAnsi="Helvetica CE" w:cs="Times New Roman"/>
          <w:spacing w:val="-2"/>
          <w:sz w:val="24"/>
          <w:szCs w:val="24"/>
        </w:rPr>
        <w:t>/</w:t>
      </w:r>
      <w:r>
        <w:rPr>
          <w:rFonts w:hint="eastAsia" w:ascii="Helvetica CE" w:hAnsi="Helvetica CE" w:cs="Times New Roman"/>
          <w:spacing w:val="-2"/>
          <w:sz w:val="24"/>
          <w:szCs w:val="24"/>
        </w:rPr>
        <w:t>定期跟踪审查频率截止日期</w:t>
      </w:r>
      <w:r>
        <w:rPr>
          <w:rFonts w:ascii="Times New Roman" w:hAnsi="Times New Roman" w:cs="Times New Roman"/>
          <w:sz w:val="24"/>
          <w:szCs w:val="24"/>
        </w:rPr>
        <w:t>前</w:t>
      </w:r>
      <w:r>
        <w:rPr>
          <w:rFonts w:hint="eastAsia" w:ascii="Times New Roman" w:hAnsi="Times New Roman" w:cs="Times New Roman"/>
          <w:sz w:val="24"/>
          <w:szCs w:val="24"/>
        </w:rPr>
        <w:t>一个月</w:t>
      </w:r>
      <w:r>
        <w:rPr>
          <w:rFonts w:ascii="Times New Roman" w:hAnsi="Times New Roman" w:cs="Times New Roman"/>
          <w:sz w:val="24"/>
          <w:szCs w:val="24"/>
        </w:rPr>
        <w:t>提交</w:t>
      </w:r>
      <w:r>
        <w:rPr>
          <w:rFonts w:hint="eastAsia" w:ascii="Helvetica CE" w:hAnsi="Helvetica CE" w:cs="Times New Roman"/>
          <w:spacing w:val="-2"/>
          <w:sz w:val="24"/>
          <w:szCs w:val="24"/>
        </w:rPr>
        <w:t>年度</w:t>
      </w:r>
      <w:r>
        <w:rPr>
          <w:rFonts w:ascii="Helvetica CE" w:hAnsi="Helvetica CE" w:cs="Times New Roman"/>
          <w:spacing w:val="-2"/>
          <w:sz w:val="24"/>
          <w:szCs w:val="24"/>
        </w:rPr>
        <w:t>/</w:t>
      </w:r>
      <w:r>
        <w:rPr>
          <w:rFonts w:hint="eastAsia" w:ascii="Helvetica CE" w:hAnsi="Helvetica CE" w:cs="Times New Roman"/>
          <w:spacing w:val="-2"/>
          <w:sz w:val="24"/>
          <w:szCs w:val="24"/>
        </w:rPr>
        <w:t>定期</w:t>
      </w:r>
      <w:r>
        <w:rPr>
          <w:rFonts w:ascii="Times New Roman" w:hAnsi="Times New Roman" w:cs="Times New Roman"/>
          <w:sz w:val="24"/>
          <w:szCs w:val="24"/>
        </w:rPr>
        <w:t>跟踪审查。</w:t>
      </w:r>
    </w:p>
    <w:p w14:paraId="10F54DED">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7</w:t>
      </w:r>
      <w:r>
        <w:rPr>
          <w:rFonts w:hint="eastAsia" w:ascii="Times New Roman" w:hAnsi="Times New Roman" w:cs="Times New Roman"/>
          <w:sz w:val="24"/>
          <w:szCs w:val="24"/>
          <w:lang w:eastAsia="zh-CN"/>
        </w:rPr>
        <w:t>）</w:t>
      </w:r>
      <w:r>
        <w:rPr>
          <w:rFonts w:ascii="Times New Roman" w:hAnsi="Times New Roman" w:cs="Times New Roman"/>
          <w:sz w:val="24"/>
          <w:szCs w:val="24"/>
        </w:rPr>
        <w:t>完成临床研究，提前终止临床研究，</w:t>
      </w:r>
      <w:r>
        <w:rPr>
          <w:rFonts w:hint="eastAsia" w:ascii="Times New Roman" w:hAnsi="Times New Roman" w:cs="Times New Roman"/>
          <w:sz w:val="24"/>
          <w:szCs w:val="24"/>
        </w:rPr>
        <w:t>应</w:t>
      </w:r>
      <w:r>
        <w:rPr>
          <w:rFonts w:ascii="Times New Roman" w:hAnsi="Times New Roman" w:cs="Times New Roman"/>
          <w:sz w:val="24"/>
          <w:szCs w:val="24"/>
        </w:rPr>
        <w:t>及时报告药物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w:t>
      </w:r>
    </w:p>
    <w:p w14:paraId="2DBB3FB6">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8</w:t>
      </w:r>
      <w:r>
        <w:rPr>
          <w:rFonts w:hint="eastAsia" w:ascii="Times New Roman" w:hAnsi="Times New Roman" w:cs="Times New Roman"/>
          <w:sz w:val="24"/>
          <w:szCs w:val="24"/>
          <w:lang w:eastAsia="zh-CN"/>
        </w:rPr>
        <w:t>）</w:t>
      </w:r>
      <w:r>
        <w:rPr>
          <w:rFonts w:ascii="Times New Roman" w:hAnsi="Times New Roman" w:cs="Times New Roman"/>
          <w:sz w:val="24"/>
          <w:szCs w:val="24"/>
        </w:rPr>
        <w:t>药物</w:t>
      </w:r>
      <w:r>
        <w:rPr>
          <w:rFonts w:hint="eastAsia" w:ascii="Times New Roman" w:hAnsi="Times New Roman" w:cs="Times New Roman"/>
          <w:sz w:val="24"/>
          <w:szCs w:val="24"/>
        </w:rPr>
        <w:t>、医疗器械</w:t>
      </w:r>
      <w:r>
        <w:rPr>
          <w:rFonts w:ascii="Times New Roman" w:hAnsi="Times New Roman" w:cs="Times New Roman"/>
          <w:sz w:val="24"/>
          <w:szCs w:val="24"/>
        </w:rPr>
        <w:t>临床试验的</w:t>
      </w:r>
      <w:r>
        <w:rPr>
          <w:rFonts w:hint="eastAsia" w:ascii="Times New Roman" w:hAnsi="Times New Roman" w:cs="Times New Roman"/>
          <w:sz w:val="24"/>
          <w:szCs w:val="24"/>
        </w:rPr>
        <w:t>会议</w:t>
      </w:r>
      <w:r>
        <w:rPr>
          <w:rFonts w:ascii="Times New Roman" w:hAnsi="Times New Roman" w:cs="Times New Roman"/>
          <w:sz w:val="24"/>
          <w:szCs w:val="24"/>
        </w:rPr>
        <w:t>审查费用为每项4000元人民币，</w:t>
      </w:r>
      <w:r>
        <w:rPr>
          <w:rFonts w:hint="eastAsia" w:ascii="Times New Roman" w:hAnsi="Times New Roman" w:cs="Times New Roman"/>
          <w:sz w:val="24"/>
          <w:szCs w:val="24"/>
        </w:rPr>
        <w:t>快速审查</w:t>
      </w:r>
      <w:r>
        <w:rPr>
          <w:rFonts w:ascii="Times New Roman" w:hAnsi="Times New Roman" w:cs="Times New Roman"/>
          <w:sz w:val="24"/>
          <w:szCs w:val="24"/>
        </w:rPr>
        <w:t>费用为每项2000元人民币，于</w:t>
      </w:r>
      <w:r>
        <w:rPr>
          <w:rFonts w:hint="eastAsia" w:ascii="Times New Roman" w:hAnsi="Times New Roman" w:cs="Times New Roman"/>
          <w:sz w:val="24"/>
          <w:szCs w:val="24"/>
        </w:rPr>
        <w:t>取得</w:t>
      </w:r>
      <w:r>
        <w:rPr>
          <w:rFonts w:ascii="Times New Roman" w:hAnsi="Times New Roman" w:cs="Times New Roman"/>
          <w:sz w:val="24"/>
          <w:szCs w:val="24"/>
        </w:rPr>
        <w:t>伦理</w:t>
      </w:r>
      <w:r>
        <w:rPr>
          <w:rFonts w:hint="eastAsia" w:ascii="Times New Roman" w:hAnsi="Times New Roman" w:cs="Times New Roman"/>
          <w:sz w:val="24"/>
          <w:szCs w:val="24"/>
        </w:rPr>
        <w:t>批件或意见前</w:t>
      </w:r>
      <w:r>
        <w:rPr>
          <w:rFonts w:ascii="Times New Roman" w:hAnsi="Times New Roman" w:cs="Times New Roman"/>
          <w:sz w:val="24"/>
          <w:szCs w:val="24"/>
        </w:rPr>
        <w:t>缴纳至财务处，</w:t>
      </w:r>
      <w:r>
        <w:rPr>
          <w:rFonts w:hint="eastAsia" w:ascii="Times New Roman" w:hAnsi="Times New Roman" w:cs="Times New Roman"/>
          <w:sz w:val="24"/>
          <w:szCs w:val="24"/>
        </w:rPr>
        <w:t>复审、</w:t>
      </w:r>
      <w:r>
        <w:rPr>
          <w:rFonts w:hint="eastAsia" w:ascii="Helvetica CE" w:hAnsi="Helvetica CE" w:cs="Times New Roman"/>
          <w:spacing w:val="-2"/>
          <w:sz w:val="24"/>
          <w:szCs w:val="24"/>
        </w:rPr>
        <w:t>年度</w:t>
      </w:r>
      <w:r>
        <w:rPr>
          <w:rFonts w:ascii="Helvetica CE" w:hAnsi="Helvetica CE" w:cs="Times New Roman"/>
          <w:spacing w:val="-2"/>
          <w:sz w:val="24"/>
          <w:szCs w:val="24"/>
        </w:rPr>
        <w:t>/</w:t>
      </w:r>
      <w:r>
        <w:rPr>
          <w:rFonts w:hint="eastAsia" w:ascii="Helvetica CE" w:hAnsi="Helvetica CE" w:cs="Times New Roman"/>
          <w:spacing w:val="-2"/>
          <w:sz w:val="24"/>
          <w:szCs w:val="24"/>
        </w:rPr>
        <w:t>定期</w:t>
      </w:r>
      <w:r>
        <w:rPr>
          <w:rFonts w:ascii="Times New Roman" w:hAnsi="Times New Roman" w:cs="Times New Roman"/>
          <w:sz w:val="24"/>
          <w:szCs w:val="24"/>
        </w:rPr>
        <w:t>跟踪审查、</w:t>
      </w:r>
      <w:r>
        <w:rPr>
          <w:rFonts w:hint="eastAsia" w:ascii="Times New Roman" w:hAnsi="Times New Roman" w:cs="Times New Roman"/>
          <w:sz w:val="24"/>
          <w:szCs w:val="24"/>
        </w:rPr>
        <w:t>结题审查</w:t>
      </w:r>
      <w:r>
        <w:rPr>
          <w:rFonts w:ascii="Times New Roman" w:hAnsi="Times New Roman" w:cs="Times New Roman"/>
          <w:sz w:val="24"/>
          <w:szCs w:val="24"/>
        </w:rPr>
        <w:t>等不收取审查费用。</w:t>
      </w:r>
    </w:p>
    <w:p w14:paraId="0387EEF4">
      <w:pPr>
        <w:spacing w:line="360" w:lineRule="auto"/>
        <w:ind w:firstLine="426"/>
        <w:jc w:val="left"/>
        <w:rPr>
          <w:rFonts w:ascii="Times New Roman" w:hAnsi="Times New Roman" w:cs="Times New Roman"/>
          <w:sz w:val="24"/>
          <w:szCs w:val="24"/>
        </w:rPr>
      </w:pPr>
      <w:r>
        <w:rPr>
          <w:rFonts w:ascii="Times New Roman" w:hAnsi="Times New Roman" w:cs="Times New Roman"/>
          <w:sz w:val="24"/>
          <w:szCs w:val="24"/>
        </w:rPr>
        <w:t>3、提交申请时间</w:t>
      </w:r>
    </w:p>
    <w:p w14:paraId="41CD3FC6">
      <w:pPr>
        <w:numPr>
          <w:ilvl w:val="-1"/>
          <w:numId w:val="0"/>
        </w:numPr>
        <w:spacing w:line="360" w:lineRule="auto"/>
        <w:ind w:left="0" w:firstLine="480" w:firstLineChars="200"/>
        <w:jc w:val="left"/>
        <w:rPr>
          <w:rFonts w:hint="default" w:ascii="Times New Roman" w:hAnsi="Times New Roman" w:cs="Times New Roman" w:eastAsiaTheme="minorEastAsia"/>
          <w:color w:val="auto"/>
          <w:sz w:val="24"/>
          <w:szCs w:val="24"/>
          <w:lang w:val="en-US" w:eastAsia="zh-CN"/>
        </w:rPr>
      </w:pP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1</w:t>
      </w: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rPr>
        <w:t>资料递交为每周一、周二（非工作日除外），上午8:0</w:t>
      </w:r>
      <w:r>
        <w:rPr>
          <w:rFonts w:ascii="Times New Roman" w:hAnsi="Times New Roman" w:cs="Times New Roman"/>
          <w:color w:val="auto"/>
          <w:sz w:val="24"/>
          <w:szCs w:val="24"/>
        </w:rPr>
        <w:t>0</w:t>
      </w:r>
      <w:r>
        <w:rPr>
          <w:rFonts w:hint="eastAsia" w:ascii="Times New Roman" w:hAnsi="Times New Roman" w:cs="Times New Roman"/>
          <w:color w:val="auto"/>
          <w:sz w:val="24"/>
          <w:szCs w:val="24"/>
        </w:rPr>
        <w:t>-</w:t>
      </w:r>
      <w:r>
        <w:rPr>
          <w:rFonts w:ascii="Times New Roman" w:hAnsi="Times New Roman" w:cs="Times New Roman"/>
          <w:color w:val="auto"/>
          <w:sz w:val="24"/>
          <w:szCs w:val="24"/>
        </w:rPr>
        <w:t>1</w:t>
      </w:r>
      <w:r>
        <w:rPr>
          <w:rFonts w:hint="eastAsia" w:ascii="Times New Roman" w:hAnsi="Times New Roman" w:cs="Times New Roman"/>
          <w:color w:val="auto"/>
          <w:sz w:val="24"/>
          <w:szCs w:val="24"/>
          <w:lang w:val="en-US" w:eastAsia="zh-CN"/>
        </w:rPr>
        <w:t>2</w:t>
      </w:r>
      <w:r>
        <w:rPr>
          <w:rFonts w:hint="eastAsia" w:ascii="Times New Roman" w:hAnsi="Times New Roman" w:cs="Times New Roman"/>
          <w:color w:val="auto"/>
          <w:sz w:val="24"/>
          <w:szCs w:val="24"/>
        </w:rPr>
        <w:t>:0</w:t>
      </w:r>
      <w:r>
        <w:rPr>
          <w:rFonts w:ascii="Times New Roman" w:hAnsi="Times New Roman" w:cs="Times New Roman"/>
          <w:color w:val="auto"/>
          <w:sz w:val="24"/>
          <w:szCs w:val="24"/>
        </w:rPr>
        <w:t>0</w:t>
      </w:r>
      <w:r>
        <w:rPr>
          <w:rFonts w:hint="eastAsia" w:ascii="Times New Roman" w:hAnsi="Times New Roman" w:cs="Times New Roman"/>
          <w:color w:val="auto"/>
          <w:sz w:val="24"/>
          <w:szCs w:val="24"/>
        </w:rPr>
        <w:t>，下午1</w:t>
      </w:r>
      <w:r>
        <w:rPr>
          <w:rFonts w:ascii="Times New Roman" w:hAnsi="Times New Roman" w:cs="Times New Roman"/>
          <w:color w:val="auto"/>
          <w:sz w:val="24"/>
          <w:szCs w:val="24"/>
        </w:rPr>
        <w:t>4</w:t>
      </w:r>
      <w:r>
        <w:rPr>
          <w:rFonts w:hint="eastAsia" w:ascii="Times New Roman" w:hAnsi="Times New Roman" w:cs="Times New Roman"/>
          <w:color w:val="auto"/>
          <w:sz w:val="24"/>
          <w:szCs w:val="24"/>
        </w:rPr>
        <w:t>:0</w:t>
      </w:r>
      <w:r>
        <w:rPr>
          <w:rFonts w:ascii="Times New Roman" w:hAnsi="Times New Roman" w:cs="Times New Roman"/>
          <w:color w:val="auto"/>
          <w:sz w:val="24"/>
          <w:szCs w:val="24"/>
        </w:rPr>
        <w:t>0</w:t>
      </w:r>
      <w:r>
        <w:rPr>
          <w:rFonts w:hint="eastAsia" w:ascii="Times New Roman" w:hAnsi="Times New Roman" w:cs="Times New Roman"/>
          <w:color w:val="auto"/>
          <w:sz w:val="24"/>
          <w:szCs w:val="24"/>
        </w:rPr>
        <w:t>-</w:t>
      </w:r>
      <w:r>
        <w:rPr>
          <w:rFonts w:ascii="Times New Roman" w:hAnsi="Times New Roman" w:cs="Times New Roman"/>
          <w:color w:val="auto"/>
          <w:sz w:val="24"/>
          <w:szCs w:val="24"/>
        </w:rPr>
        <w:t>18</w:t>
      </w:r>
      <w:r>
        <w:rPr>
          <w:rFonts w:hint="eastAsia" w:ascii="Times New Roman" w:hAnsi="Times New Roman" w:cs="Times New Roman"/>
          <w:color w:val="auto"/>
          <w:sz w:val="24"/>
          <w:szCs w:val="24"/>
        </w:rPr>
        <w:t>:0</w:t>
      </w:r>
      <w:r>
        <w:rPr>
          <w:rFonts w:ascii="Times New Roman" w:hAnsi="Times New Roman" w:cs="Times New Roman"/>
          <w:color w:val="auto"/>
          <w:sz w:val="24"/>
          <w:szCs w:val="24"/>
        </w:rPr>
        <w:t>0</w:t>
      </w:r>
      <w:r>
        <w:rPr>
          <w:rFonts w:hint="eastAsia"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紧急情况下，其余时间也可与伦理办公室人员预约递交资料。</w:t>
      </w:r>
    </w:p>
    <w:p w14:paraId="15C052BC">
      <w:pPr>
        <w:spacing w:line="360" w:lineRule="auto"/>
        <w:ind w:firstLine="426"/>
        <w:jc w:val="left"/>
        <w:rPr>
          <w:rFonts w:hint="default" w:ascii="Times New Roman" w:hAnsi="Times New Roman" w:cs="Times New Roman" w:eastAsiaTheme="minorEastAsia"/>
          <w:sz w:val="24"/>
          <w:szCs w:val="24"/>
          <w:lang w:val="en-US" w:eastAsia="zh-CN"/>
        </w:rPr>
      </w:pP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2</w:t>
      </w: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rPr>
        <w:t>云南省第一人民医院药物</w:t>
      </w:r>
      <w:r>
        <w:rPr>
          <w:rFonts w:ascii="Times New Roman" w:hAnsi="Times New Roman" w:cs="Times New Roman"/>
          <w:color w:val="auto"/>
          <w:sz w:val="24"/>
          <w:szCs w:val="24"/>
        </w:rPr>
        <w:t>/</w:t>
      </w:r>
      <w:r>
        <w:rPr>
          <w:rFonts w:hint="eastAsia" w:ascii="Times New Roman" w:hAnsi="Times New Roman" w:cs="Times New Roman"/>
          <w:color w:val="auto"/>
          <w:sz w:val="24"/>
          <w:szCs w:val="24"/>
        </w:rPr>
        <w:t>医疗器械临床试验伦理委员会原则上每月第三周周三下午召开会议，对受理的研究项目进行审查，必要时可以召开紧急会议进行审查。</w:t>
      </w:r>
      <w:r>
        <w:rPr>
          <w:rFonts w:ascii="Times New Roman" w:hAnsi="Times New Roman" w:cs="Times New Roman"/>
          <w:sz w:val="24"/>
          <w:szCs w:val="24"/>
        </w:rPr>
        <w:t>因会前需留出1周</w:t>
      </w:r>
      <w:r>
        <w:rPr>
          <w:rFonts w:hint="eastAsia" w:ascii="Times New Roman" w:hAnsi="Times New Roman" w:cs="Times New Roman"/>
          <w:sz w:val="24"/>
          <w:szCs w:val="24"/>
        </w:rPr>
        <w:t>时间</w:t>
      </w:r>
      <w:r>
        <w:rPr>
          <w:rFonts w:ascii="Times New Roman" w:hAnsi="Times New Roman" w:cs="Times New Roman"/>
          <w:sz w:val="24"/>
          <w:szCs w:val="24"/>
        </w:rPr>
        <w:t>给</w:t>
      </w:r>
      <w:r>
        <w:rPr>
          <w:rFonts w:hint="eastAsia" w:ascii="Times New Roman" w:hAnsi="Times New Roman" w:cs="Times New Roman"/>
          <w:sz w:val="24"/>
          <w:szCs w:val="24"/>
        </w:rPr>
        <w:t>伦理办公室</w:t>
      </w:r>
      <w:r>
        <w:rPr>
          <w:rFonts w:ascii="Times New Roman" w:hAnsi="Times New Roman" w:cs="Times New Roman"/>
          <w:sz w:val="24"/>
          <w:szCs w:val="24"/>
        </w:rPr>
        <w:t>对受理材料进行形式审查以及委员预审，所以，当月审查提交材料的截止日期为：</w:t>
      </w:r>
      <w:r>
        <w:rPr>
          <w:rFonts w:hint="eastAsia" w:ascii="Times New Roman" w:hAnsi="Times New Roman" w:cs="Times New Roman"/>
          <w:sz w:val="24"/>
          <w:szCs w:val="24"/>
        </w:rPr>
        <w:t>当月</w:t>
      </w:r>
      <w:r>
        <w:rPr>
          <w:rFonts w:ascii="Times New Roman" w:hAnsi="Times New Roman" w:cs="Times New Roman"/>
          <w:sz w:val="24"/>
          <w:szCs w:val="24"/>
        </w:rPr>
        <w:t>伦理审查会议前1周。</w:t>
      </w:r>
    </w:p>
    <w:p w14:paraId="00284F6F">
      <w:pPr>
        <w:spacing w:line="360" w:lineRule="auto"/>
        <w:ind w:firstLine="426"/>
        <w:jc w:val="left"/>
        <w:rPr>
          <w:rFonts w:ascii="Times New Roman" w:hAnsi="Times New Roman" w:cs="Times New Roman"/>
          <w:sz w:val="24"/>
          <w:szCs w:val="24"/>
        </w:rPr>
      </w:pPr>
      <w:r>
        <w:rPr>
          <w:rFonts w:ascii="Times New Roman" w:hAnsi="Times New Roman" w:cs="Times New Roman"/>
          <w:sz w:val="24"/>
          <w:szCs w:val="24"/>
        </w:rPr>
        <w:t>4、传达审查决定的时间</w:t>
      </w:r>
    </w:p>
    <w:p w14:paraId="4405E5BD">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lang w:eastAsia="zh-CN"/>
        </w:rPr>
        <w:t>）</w:t>
      </w:r>
      <w:r>
        <w:rPr>
          <w:rFonts w:ascii="Times New Roman" w:hAnsi="Times New Roman" w:cs="Times New Roman"/>
          <w:sz w:val="24"/>
          <w:szCs w:val="24"/>
        </w:rPr>
        <w:t>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临床试验伦理委员会秘书在会议审查后2个工作日内初步通知主要研究者有关审查决定；正式</w:t>
      </w:r>
      <w:r>
        <w:rPr>
          <w:rFonts w:ascii="宋体" w:hAnsi="宋体" w:cs="Times New Roman"/>
          <w:sz w:val="24"/>
          <w:szCs w:val="24"/>
        </w:rPr>
        <w:t>“</w:t>
      </w:r>
      <w:r>
        <w:rPr>
          <w:rFonts w:ascii="Times New Roman" w:hAnsi="Times New Roman" w:cs="Times New Roman"/>
          <w:sz w:val="24"/>
          <w:szCs w:val="24"/>
        </w:rPr>
        <w:t>审查批件</w:t>
      </w:r>
      <w:r>
        <w:rPr>
          <w:rFonts w:ascii="宋体" w:hAnsi="宋体" w:cs="Times New Roman"/>
          <w:sz w:val="24"/>
          <w:szCs w:val="24"/>
        </w:rPr>
        <w:t>”</w:t>
      </w:r>
      <w:r>
        <w:rPr>
          <w:rFonts w:hint="eastAsia" w:ascii="宋体" w:hAnsi="宋体" w:cs="Times New Roman"/>
          <w:sz w:val="24"/>
          <w:szCs w:val="24"/>
        </w:rPr>
        <w:t>、“审查批件的意见”</w:t>
      </w:r>
      <w:r>
        <w:rPr>
          <w:rFonts w:ascii="Times New Roman" w:hAnsi="Times New Roman" w:cs="Times New Roman"/>
          <w:sz w:val="24"/>
          <w:szCs w:val="24"/>
        </w:rPr>
        <w:t>或</w:t>
      </w:r>
      <w:r>
        <w:rPr>
          <w:rFonts w:ascii="宋体" w:hAnsi="宋体" w:cs="Times New Roman"/>
          <w:sz w:val="24"/>
          <w:szCs w:val="24"/>
        </w:rPr>
        <w:t>“</w:t>
      </w:r>
      <w:r>
        <w:rPr>
          <w:rFonts w:ascii="Times New Roman" w:hAnsi="Times New Roman" w:cs="Times New Roman"/>
          <w:sz w:val="24"/>
          <w:szCs w:val="24"/>
        </w:rPr>
        <w:t>审查意见通知</w:t>
      </w:r>
      <w:r>
        <w:rPr>
          <w:rFonts w:ascii="宋体" w:hAnsi="宋体" w:cs="Times New Roman"/>
          <w:sz w:val="24"/>
          <w:szCs w:val="24"/>
        </w:rPr>
        <w:t>”</w:t>
      </w:r>
      <w:r>
        <w:rPr>
          <w:rFonts w:ascii="Times New Roman" w:hAnsi="Times New Roman" w:cs="Times New Roman"/>
          <w:sz w:val="24"/>
          <w:szCs w:val="24"/>
        </w:rPr>
        <w:t>传达在做出审查决定的会议后1周内传达；</w:t>
      </w:r>
    </w:p>
    <w:p w14:paraId="79C83EEF">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r>
        <w:rPr>
          <w:rFonts w:hint="eastAsia" w:ascii="Times New Roman" w:hAnsi="Times New Roman" w:cs="Times New Roman"/>
          <w:sz w:val="24"/>
          <w:szCs w:val="24"/>
          <w:lang w:eastAsia="zh-CN"/>
        </w:rPr>
        <w:t>）</w:t>
      </w:r>
      <w:r>
        <w:rPr>
          <w:rFonts w:ascii="Times New Roman" w:hAnsi="Times New Roman" w:cs="Times New Roman"/>
          <w:sz w:val="24"/>
          <w:szCs w:val="24"/>
        </w:rPr>
        <w:t>通过</w:t>
      </w:r>
      <w:r>
        <w:rPr>
          <w:rFonts w:hint="eastAsia" w:ascii="Times New Roman" w:hAnsi="Times New Roman" w:cs="Times New Roman"/>
          <w:sz w:val="24"/>
          <w:szCs w:val="24"/>
          <w:lang w:val="en-US" w:eastAsia="zh-CN"/>
        </w:rPr>
        <w:t>快审</w:t>
      </w:r>
      <w:r>
        <w:rPr>
          <w:rFonts w:ascii="Times New Roman" w:hAnsi="Times New Roman" w:cs="Times New Roman"/>
          <w:sz w:val="24"/>
          <w:szCs w:val="24"/>
        </w:rPr>
        <w:t>方式进行审查的材料</w:t>
      </w:r>
      <w:r>
        <w:rPr>
          <w:rFonts w:hint="eastAsia" w:ascii="Times New Roman" w:hAnsi="Times New Roman" w:cs="Times New Roman"/>
          <w:sz w:val="24"/>
          <w:szCs w:val="24"/>
          <w:lang w:eastAsia="zh-CN"/>
        </w:rPr>
        <w:t>，</w:t>
      </w:r>
      <w:r>
        <w:rPr>
          <w:rFonts w:ascii="Times New Roman" w:hAnsi="Times New Roman" w:cs="Times New Roman"/>
          <w:sz w:val="24"/>
          <w:szCs w:val="24"/>
        </w:rPr>
        <w:t>在受理材料齐全后</w:t>
      </w:r>
      <w:r>
        <w:rPr>
          <w:rFonts w:hint="eastAsia" w:ascii="Times New Roman" w:hAnsi="Times New Roman" w:cs="Times New Roman"/>
          <w:sz w:val="24"/>
          <w:szCs w:val="24"/>
          <w:lang w:val="en-US" w:eastAsia="zh-CN"/>
        </w:rPr>
        <w:t>10个工作日</w:t>
      </w:r>
      <w:r>
        <w:rPr>
          <w:rFonts w:ascii="Times New Roman" w:hAnsi="Times New Roman" w:cs="Times New Roman"/>
          <w:sz w:val="24"/>
          <w:szCs w:val="24"/>
        </w:rPr>
        <w:t>内传达。</w:t>
      </w:r>
    </w:p>
    <w:p w14:paraId="257C0C40">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r>
        <w:rPr>
          <w:rFonts w:hint="eastAsia" w:ascii="Times New Roman" w:hAnsi="Times New Roman" w:cs="Times New Roman"/>
          <w:sz w:val="24"/>
          <w:szCs w:val="24"/>
          <w:lang w:eastAsia="zh-CN"/>
        </w:rPr>
        <w:t>）</w:t>
      </w:r>
      <w:r>
        <w:rPr>
          <w:rFonts w:cs="Times New Roman" w:asciiTheme="minorEastAsia" w:hAnsiTheme="minorEastAsia"/>
          <w:sz w:val="24"/>
        </w:rPr>
        <w:t>药物</w:t>
      </w:r>
      <w:r>
        <w:rPr>
          <w:rFonts w:hint="eastAsia" w:cs="Times New Roman" w:asciiTheme="minorEastAsia" w:hAnsiTheme="minorEastAsia"/>
          <w:sz w:val="24"/>
          <w:lang w:val="en-US" w:eastAsia="zh-CN"/>
        </w:rPr>
        <w:t>/医疗器械</w:t>
      </w:r>
      <w:r>
        <w:rPr>
          <w:rFonts w:cs="Times New Roman" w:asciiTheme="minorEastAsia" w:hAnsiTheme="minorEastAsia"/>
          <w:sz w:val="24"/>
        </w:rPr>
        <w:t>临床试验</w:t>
      </w:r>
      <w:r>
        <w:rPr>
          <w:rFonts w:hint="eastAsia" w:cs="Times New Roman" w:asciiTheme="minorEastAsia" w:hAnsiTheme="minorEastAsia"/>
          <w:sz w:val="24"/>
        </w:rPr>
        <w:t>前置</w:t>
      </w:r>
      <w:r>
        <w:rPr>
          <w:rFonts w:cs="Times New Roman" w:asciiTheme="minorEastAsia" w:hAnsiTheme="minorEastAsia"/>
          <w:sz w:val="24"/>
        </w:rPr>
        <w:t>伦理审查</w:t>
      </w:r>
      <w:r>
        <w:rPr>
          <w:rFonts w:hint="eastAsia" w:cs="Times New Roman" w:asciiTheme="minorEastAsia" w:hAnsiTheme="minorEastAsia"/>
          <w:sz w:val="24"/>
        </w:rPr>
        <w:t>的</w:t>
      </w:r>
      <w:r>
        <w:rPr>
          <w:rFonts w:ascii="Times New Roman" w:hAnsi="Times New Roman" w:cs="Times New Roman"/>
          <w:sz w:val="24"/>
          <w:szCs w:val="24"/>
        </w:rPr>
        <w:t>正式</w:t>
      </w:r>
      <w:r>
        <w:rPr>
          <w:rFonts w:ascii="宋体" w:hAnsi="宋体" w:cs="Times New Roman"/>
          <w:sz w:val="24"/>
          <w:szCs w:val="24"/>
        </w:rPr>
        <w:t>“</w:t>
      </w:r>
      <w:r>
        <w:rPr>
          <w:rFonts w:ascii="Times New Roman" w:hAnsi="Times New Roman" w:cs="Times New Roman"/>
          <w:sz w:val="24"/>
          <w:szCs w:val="24"/>
        </w:rPr>
        <w:t>审查批件</w:t>
      </w:r>
      <w:r>
        <w:rPr>
          <w:rFonts w:ascii="宋体" w:hAnsi="宋体" w:cs="Times New Roman"/>
          <w:sz w:val="24"/>
          <w:szCs w:val="24"/>
        </w:rPr>
        <w:t>”</w:t>
      </w:r>
      <w:r>
        <w:rPr>
          <w:rFonts w:hint="eastAsia" w:ascii="宋体" w:hAnsi="宋体" w:cs="Times New Roman"/>
          <w:sz w:val="24"/>
          <w:szCs w:val="24"/>
        </w:rPr>
        <w:t>，必须在获得</w:t>
      </w:r>
      <w:r>
        <w:rPr>
          <w:rFonts w:ascii="Helvetica CE" w:hAnsi="Helvetica CE"/>
          <w:sz w:val="24"/>
          <w:szCs w:val="24"/>
        </w:rPr>
        <w:t>国家药品监督管理局</w:t>
      </w:r>
      <w:r>
        <w:fldChar w:fldCharType="begin"/>
      </w:r>
      <w:r>
        <w: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instrText>
      </w:r>
      <w:r>
        <w:fldChar w:fldCharType="separate"/>
      </w:r>
      <w:r>
        <w:rPr>
          <w:rFonts w:ascii="Helvetica CE" w:hAnsi="Helvetica CE"/>
          <w:sz w:val="24"/>
          <w:szCs w:val="24"/>
        </w:rPr>
        <w:t>药物临床试验通知书</w:t>
      </w:r>
      <w:r>
        <w:rPr>
          <w:rFonts w:ascii="Helvetica CE" w:hAnsi="Helvetica CE"/>
          <w:sz w:val="24"/>
          <w:szCs w:val="24"/>
        </w:rPr>
        <w:fldChar w:fldCharType="end"/>
      </w:r>
      <w:r>
        <w:rPr>
          <w:rFonts w:hint="eastAsia" w:ascii="Helvetica CE" w:hAnsi="Helvetica CE"/>
          <w:sz w:val="24"/>
          <w:szCs w:val="24"/>
        </w:rPr>
        <w:t>或前置伦理审评项目备案成功承诺书，交伦理审查委员会备案后方可领取</w:t>
      </w:r>
      <w:r>
        <w:rPr>
          <w:rFonts w:ascii="Times New Roman" w:hAnsi="Times New Roman" w:cs="Times New Roman"/>
          <w:sz w:val="24"/>
          <w:szCs w:val="24"/>
        </w:rPr>
        <w:t>正式</w:t>
      </w:r>
      <w:r>
        <w:rPr>
          <w:rFonts w:ascii="宋体" w:hAnsi="宋体" w:cs="Times New Roman"/>
          <w:sz w:val="24"/>
          <w:szCs w:val="24"/>
        </w:rPr>
        <w:t>“</w:t>
      </w:r>
      <w:r>
        <w:rPr>
          <w:rFonts w:ascii="Times New Roman" w:hAnsi="Times New Roman" w:cs="Times New Roman"/>
          <w:sz w:val="24"/>
          <w:szCs w:val="24"/>
        </w:rPr>
        <w:t>审查批件</w:t>
      </w:r>
      <w:r>
        <w:rPr>
          <w:rFonts w:ascii="宋体" w:hAnsi="宋体" w:cs="Times New Roman"/>
          <w:sz w:val="24"/>
          <w:szCs w:val="24"/>
        </w:rPr>
        <w:t>”</w:t>
      </w:r>
      <w:r>
        <w:rPr>
          <w:rFonts w:hint="eastAsia" w:ascii="宋体" w:hAnsi="宋体" w:cs="Times New Roman"/>
          <w:sz w:val="24"/>
          <w:szCs w:val="24"/>
        </w:rPr>
        <w:t>。</w:t>
      </w:r>
    </w:p>
    <w:p w14:paraId="22EEAC33">
      <w:pPr>
        <w:spacing w:line="360" w:lineRule="auto"/>
        <w:ind w:firstLine="426"/>
        <w:jc w:val="left"/>
        <w:rPr>
          <w:rFonts w:ascii="Times New Roman" w:hAnsi="Times New Roman" w:cs="Times New Roman"/>
          <w:sz w:val="24"/>
          <w:szCs w:val="24"/>
        </w:rPr>
      </w:pPr>
      <w:r>
        <w:rPr>
          <w:rFonts w:ascii="Times New Roman" w:hAnsi="Times New Roman" w:cs="Times New Roman"/>
          <w:sz w:val="24"/>
          <w:szCs w:val="24"/>
        </w:rPr>
        <w:t>5、提交审查材料</w:t>
      </w:r>
    </w:p>
    <w:p w14:paraId="3950E430">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lang w:eastAsia="zh-CN"/>
        </w:rPr>
        <w:t>）</w:t>
      </w:r>
      <w:r>
        <w:rPr>
          <w:rFonts w:ascii="Times New Roman" w:hAnsi="Times New Roman" w:cs="Times New Roman"/>
          <w:sz w:val="24"/>
          <w:szCs w:val="24"/>
        </w:rPr>
        <w:t>主要研究者资格材料：</w:t>
      </w:r>
    </w:p>
    <w:p w14:paraId="6F4EE019">
      <w:pPr>
        <w:spacing w:line="360" w:lineRule="auto"/>
        <w:ind w:firstLine="426"/>
        <w:jc w:val="left"/>
        <w:rPr>
          <w:rFonts w:ascii="Times New Roman" w:hAnsi="Times New Roman" w:cs="Times New Roman"/>
          <w:sz w:val="24"/>
          <w:szCs w:val="24"/>
        </w:rPr>
      </w:pPr>
      <w:r>
        <w:rPr>
          <w:rFonts w:ascii="Times New Roman" w:hAnsi="Times New Roman" w:cs="Times New Roman"/>
          <w:sz w:val="24"/>
          <w:szCs w:val="24"/>
        </w:rPr>
        <w:t>个人简历(签署姓名和日期)</w:t>
      </w:r>
      <w:r>
        <w:rPr>
          <w:rFonts w:hint="eastAsia" w:ascii="Times New Roman" w:hAnsi="Times New Roman" w:cs="Times New Roman"/>
          <w:sz w:val="24"/>
          <w:szCs w:val="24"/>
        </w:rPr>
        <w:t>，</w:t>
      </w:r>
      <w:r>
        <w:rPr>
          <w:rFonts w:hint="eastAsia" w:asciiTheme="minorEastAsia" w:hAnsiTheme="minorEastAsia"/>
          <w:sz w:val="24"/>
          <w:szCs w:val="24"/>
        </w:rPr>
        <w:t>药物</w:t>
      </w:r>
      <w:r>
        <w:rPr>
          <w:rFonts w:hint="eastAsia" w:asciiTheme="minorEastAsia" w:hAnsiTheme="minorEastAsia"/>
          <w:sz w:val="24"/>
          <w:szCs w:val="24"/>
          <w:lang w:val="en-US" w:eastAsia="zh-CN"/>
        </w:rPr>
        <w:t>/医疗器械</w:t>
      </w:r>
      <w:r>
        <w:rPr>
          <w:rFonts w:hint="eastAsia" w:asciiTheme="minorEastAsia" w:hAnsiTheme="minorEastAsia"/>
          <w:sz w:val="24"/>
          <w:szCs w:val="24"/>
        </w:rPr>
        <w:t>临床试验应填写近五年主持或参研Ⅱ、Ⅲ期药物临床试验项目</w:t>
      </w:r>
      <w:r>
        <w:rPr>
          <w:rFonts w:ascii="Times New Roman" w:hAnsi="Times New Roman" w:cs="Times New Roman"/>
          <w:sz w:val="24"/>
          <w:szCs w:val="24"/>
        </w:rPr>
        <w:t>；</w:t>
      </w:r>
    </w:p>
    <w:p w14:paraId="3FF8170B">
      <w:pPr>
        <w:spacing w:line="360" w:lineRule="auto"/>
        <w:ind w:firstLine="426"/>
        <w:jc w:val="left"/>
        <w:rPr>
          <w:rFonts w:ascii="Times New Roman" w:hAnsi="Times New Roman" w:cs="Times New Roman"/>
          <w:sz w:val="24"/>
          <w:szCs w:val="24"/>
        </w:rPr>
      </w:pPr>
      <w:r>
        <w:rPr>
          <w:rFonts w:ascii="Times New Roman" w:hAnsi="Times New Roman" w:cs="Times New Roman"/>
          <w:sz w:val="24"/>
          <w:szCs w:val="24"/>
        </w:rPr>
        <w:t>相关培训证书复印件，包括专业培训，临床研究培训</w:t>
      </w:r>
      <w:r>
        <w:rPr>
          <w:rFonts w:hint="eastAsia" w:ascii="Times New Roman" w:hAnsi="Times New Roman" w:cs="Times New Roman"/>
          <w:sz w:val="24"/>
          <w:szCs w:val="24"/>
        </w:rPr>
        <w:t>，</w:t>
      </w:r>
      <w:r>
        <w:rPr>
          <w:rFonts w:ascii="Times New Roman" w:hAnsi="Times New Roman" w:cs="Times New Roman"/>
          <w:sz w:val="24"/>
          <w:szCs w:val="24"/>
        </w:rPr>
        <w:t>GCP培训</w:t>
      </w:r>
      <w:r>
        <w:rPr>
          <w:rFonts w:hint="eastAsia" w:ascii="Times New Roman" w:hAnsi="Times New Roman" w:cs="Times New Roman"/>
          <w:sz w:val="24"/>
          <w:szCs w:val="24"/>
        </w:rPr>
        <w:t>证书</w:t>
      </w:r>
      <w:r>
        <w:rPr>
          <w:rFonts w:hint="eastAsia" w:asciiTheme="minorEastAsia" w:hAnsiTheme="minorEastAsia"/>
          <w:sz w:val="24"/>
          <w:szCs w:val="24"/>
        </w:rPr>
        <w:t>、医师资格证和职称证</w:t>
      </w:r>
      <w:r>
        <w:rPr>
          <w:rFonts w:ascii="Times New Roman" w:hAnsi="Times New Roman" w:cs="Times New Roman"/>
          <w:sz w:val="24"/>
          <w:szCs w:val="24"/>
        </w:rPr>
        <w:t>。</w:t>
      </w:r>
    </w:p>
    <w:p w14:paraId="2B98D37E">
      <w:pPr>
        <w:spacing w:line="360" w:lineRule="auto"/>
        <w:ind w:firstLine="426"/>
        <w:jc w:val="left"/>
        <w:rPr>
          <w:rFonts w:ascii="Times New Roman" w:hAnsi="Times New Roman" w:cs="Times New Roman"/>
          <w:sz w:val="24"/>
          <w:szCs w:val="24"/>
        </w:rPr>
      </w:pPr>
      <w:r>
        <w:rPr>
          <w:rFonts w:ascii="Times New Roman" w:hAnsi="Times New Roman" w:cs="Times New Roman"/>
          <w:sz w:val="24"/>
          <w:szCs w:val="24"/>
        </w:rPr>
        <w:t>所有涉及人体的</w:t>
      </w:r>
      <w:r>
        <w:rPr>
          <w:rFonts w:hint="eastAsia" w:ascii="Times New Roman" w:hAnsi="Times New Roman" w:cs="Times New Roman"/>
          <w:sz w:val="24"/>
          <w:szCs w:val="24"/>
        </w:rPr>
        <w:t>药物、医疗器械临床</w:t>
      </w:r>
      <w:r>
        <w:rPr>
          <w:rFonts w:ascii="Times New Roman" w:hAnsi="Times New Roman" w:cs="Times New Roman"/>
          <w:sz w:val="24"/>
          <w:szCs w:val="24"/>
        </w:rPr>
        <w:t>研究项目的主要研究者均需提交主要研究者资格材料，初次担任研究项目主要研究者必须提交上述材料后方可主持临床研究。以上材料每两年更新一次。</w:t>
      </w:r>
    </w:p>
    <w:p w14:paraId="20F66217">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r>
        <w:rPr>
          <w:rFonts w:hint="eastAsia" w:ascii="Times New Roman" w:hAnsi="Times New Roman" w:cs="Times New Roman"/>
          <w:sz w:val="24"/>
          <w:szCs w:val="24"/>
          <w:lang w:eastAsia="zh-CN"/>
        </w:rPr>
        <w:t>）</w:t>
      </w:r>
      <w:r>
        <w:rPr>
          <w:rFonts w:ascii="Times New Roman" w:hAnsi="Times New Roman" w:cs="Times New Roman"/>
          <w:sz w:val="24"/>
          <w:szCs w:val="24"/>
        </w:rPr>
        <w:t>每项</w:t>
      </w:r>
      <w:r>
        <w:rPr>
          <w:rFonts w:hint="eastAsia" w:ascii="Times New Roman" w:hAnsi="Times New Roman" w:cs="Times New Roman"/>
          <w:sz w:val="24"/>
          <w:szCs w:val="24"/>
        </w:rPr>
        <w:t>药物、医疗器械临床研</w:t>
      </w:r>
      <w:r>
        <w:rPr>
          <w:rFonts w:ascii="Times New Roman" w:hAnsi="Times New Roman" w:cs="Times New Roman"/>
          <w:sz w:val="24"/>
          <w:szCs w:val="24"/>
        </w:rPr>
        <w:t>究项目提交审查材料参照送审文件清单【AF005-02】或各种伦理审查申请表【AF005-03</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AF005-0</w:t>
      </w:r>
      <w:r>
        <w:rPr>
          <w:rFonts w:hint="eastAsia" w:ascii="Times New Roman" w:hAnsi="Times New Roman" w:cs="Times New Roman"/>
          <w:sz w:val="24"/>
          <w:szCs w:val="24"/>
          <w:lang w:val="en-US" w:eastAsia="zh-CN"/>
        </w:rPr>
        <w:t>4</w:t>
      </w:r>
      <w:r>
        <w:rPr>
          <w:rFonts w:ascii="Times New Roman" w:hAnsi="Times New Roman" w:cs="Times New Roman"/>
          <w:sz w:val="24"/>
          <w:szCs w:val="24"/>
        </w:rPr>
        <w:t>】</w:t>
      </w:r>
      <w:r>
        <w:rPr>
          <w:rFonts w:hint="eastAsia" w:ascii="Times New Roman" w:hAnsi="Times New Roman" w:cs="Times New Roman"/>
          <w:sz w:val="24"/>
          <w:szCs w:val="24"/>
        </w:rPr>
        <w:t>，</w:t>
      </w:r>
      <w:r>
        <w:rPr>
          <w:rFonts w:hint="eastAsia" w:cs="Times New Roman" w:asciiTheme="minorEastAsia" w:hAnsiTheme="minorEastAsia"/>
          <w:sz w:val="24"/>
        </w:rPr>
        <w:t>药物、医疗器械临床试验前置伦理审查申请文件清单中，需要提供</w:t>
      </w:r>
      <w:r>
        <w:rPr>
          <w:rFonts w:ascii="Times New Roman" w:hAnsi="Times New Roman" w:cs="Times New Roman"/>
          <w:sz w:val="24"/>
          <w:szCs w:val="24"/>
        </w:rPr>
        <w:t>NMPA</w:t>
      </w:r>
      <w:r>
        <w:rPr>
          <w:rFonts w:hint="eastAsia" w:ascii="Times New Roman" w:hAnsi="Times New Roman" w:cs="Times New Roman"/>
          <w:sz w:val="24"/>
          <w:szCs w:val="24"/>
        </w:rPr>
        <w:t>受理通知书或</w:t>
      </w:r>
      <w:r>
        <w:rPr>
          <w:rFonts w:ascii="Times New Roman" w:hAnsi="Times New Roman" w:cs="Times New Roman"/>
          <w:sz w:val="24"/>
          <w:szCs w:val="24"/>
        </w:rPr>
        <w:t>CDE</w:t>
      </w:r>
      <w:r>
        <w:rPr>
          <w:rFonts w:hint="eastAsia" w:ascii="Times New Roman" w:hAnsi="Times New Roman" w:cs="Times New Roman"/>
          <w:sz w:val="24"/>
          <w:szCs w:val="24"/>
        </w:rPr>
        <w:t>沟通申请，无国家食品药品监督管理总局药物临床试验批件或国家药品监督管理局</w:t>
      </w:r>
      <w:r>
        <w:fldChar w:fldCharType="begin"/>
      </w:r>
      <w:r>
        <w: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instrText>
      </w:r>
      <w:r>
        <w:fldChar w:fldCharType="separate"/>
      </w:r>
      <w:r>
        <w:rPr>
          <w:rFonts w:hint="eastAsia" w:ascii="Times New Roman" w:hAnsi="Times New Roman" w:cs="Times New Roman"/>
          <w:sz w:val="24"/>
          <w:szCs w:val="24"/>
        </w:rPr>
        <w:t>药物临床试验通知书</w:t>
      </w:r>
      <w:r>
        <w:rPr>
          <w:rFonts w:hint="eastAsia" w:ascii="Times New Roman" w:hAnsi="Times New Roman" w:cs="Times New Roman"/>
          <w:sz w:val="24"/>
          <w:szCs w:val="24"/>
        </w:rPr>
        <w:fldChar w:fldCharType="end"/>
      </w:r>
      <w:r>
        <w:rPr>
          <w:rFonts w:hint="eastAsia" w:ascii="Times New Roman" w:hAnsi="Times New Roman" w:cs="Times New Roman"/>
          <w:sz w:val="24"/>
          <w:szCs w:val="24"/>
        </w:rPr>
        <w:t>的说明</w:t>
      </w:r>
      <w:r>
        <w:rPr>
          <w:rFonts w:ascii="Times New Roman" w:hAnsi="Times New Roman" w:cs="Times New Roman"/>
          <w:sz w:val="24"/>
          <w:szCs w:val="24"/>
        </w:rPr>
        <w:t>。</w:t>
      </w:r>
    </w:p>
    <w:p w14:paraId="3E4BFDE9">
      <w:pPr>
        <w:spacing w:line="360" w:lineRule="auto"/>
        <w:ind w:firstLine="426"/>
        <w:jc w:val="left"/>
        <w:rPr>
          <w:rFonts w:ascii="Times New Roman" w:hAnsi="Times New Roman" w:cs="Times New Roman"/>
          <w:sz w:val="24"/>
          <w:szCs w:val="24"/>
        </w:rPr>
      </w:pPr>
      <w:r>
        <w:rPr>
          <w:rFonts w:ascii="Times New Roman" w:hAnsi="Times New Roman" w:cs="Times New Roman"/>
          <w:sz w:val="24"/>
          <w:szCs w:val="24"/>
        </w:rPr>
        <w:t>6、有关免除知情同意或免除知情同意书签字</w:t>
      </w:r>
    </w:p>
    <w:p w14:paraId="04589F40">
      <w:pPr>
        <w:spacing w:line="360" w:lineRule="auto"/>
        <w:ind w:firstLine="426"/>
        <w:jc w:val="left"/>
        <w:rPr>
          <w:rFonts w:ascii="Times New Roman" w:hAnsi="Times New Roman" w:cs="Times New Roman"/>
          <w:sz w:val="24"/>
          <w:szCs w:val="24"/>
        </w:rPr>
      </w:pPr>
      <w:r>
        <w:rPr>
          <w:rFonts w:ascii="Times New Roman" w:hAnsi="Times New Roman" w:cs="Times New Roman"/>
          <w:sz w:val="24"/>
          <w:szCs w:val="24"/>
        </w:rPr>
        <w:t>云南省第一人民医院药物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临床试验伦理委员会规定，符合下属条件可以免除知情同意或者免除知情同意书的签字。</w:t>
      </w:r>
    </w:p>
    <w:p w14:paraId="56E2184A">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lang w:eastAsia="zh-CN"/>
        </w:rPr>
        <w:t>）</w:t>
      </w:r>
      <w:r>
        <w:rPr>
          <w:rFonts w:ascii="Times New Roman" w:hAnsi="Times New Roman" w:cs="Times New Roman"/>
          <w:sz w:val="24"/>
          <w:szCs w:val="24"/>
        </w:rPr>
        <w:t>当研究仅仅涉及最小风险，并且要求研究参与者知情同意会使研究的实施不可行，药物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临床试验伦理委员会可以部分或全部免除知情同意。以下两种情况可以免除知情同意：</w:t>
      </w:r>
    </w:p>
    <w:p w14:paraId="3ACAB802">
      <w:pPr>
        <w:numPr>
          <w:ilvl w:val="-1"/>
          <w:numId w:val="0"/>
        </w:numPr>
        <w:spacing w:line="360" w:lineRule="auto"/>
        <w:ind w:left="0" w:firstLine="480" w:firstLineChars="200"/>
        <w:jc w:val="left"/>
        <w:rPr>
          <w:rFonts w:ascii="Times New Roman" w:hAnsi="Times New Roman" w:cs="Times New Roman"/>
          <w:sz w:val="24"/>
          <w:szCs w:val="24"/>
        </w:rPr>
      </w:pPr>
      <w:r>
        <w:rPr>
          <w:rFonts w:hint="default" w:ascii="Calibri" w:hAnsi="Calibri" w:cs="Calibri"/>
          <w:sz w:val="24"/>
          <w:szCs w:val="24"/>
        </w:rPr>
        <w:t>①</w:t>
      </w:r>
      <w:r>
        <w:rPr>
          <w:rFonts w:ascii="Times New Roman" w:hAnsi="Times New Roman" w:cs="Times New Roman"/>
          <w:sz w:val="24"/>
          <w:szCs w:val="24"/>
        </w:rPr>
        <w:t>由政府部门实施或批准实施的研究项目和示范项目，用来研究、评价以下情况之一者，并且，没有知情同意的免除，研究无法有效实施：</w:t>
      </w:r>
    </w:p>
    <w:p w14:paraId="0E01F880">
      <w:pPr>
        <w:numPr>
          <w:ilvl w:val="0"/>
          <w:numId w:val="2"/>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公众福利或服务项目；</w:t>
      </w:r>
    </w:p>
    <w:p w14:paraId="2D845053">
      <w:pPr>
        <w:numPr>
          <w:ilvl w:val="0"/>
          <w:numId w:val="2"/>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领取福利或获得服务的程序；</w:t>
      </w:r>
    </w:p>
    <w:p w14:paraId="737D7A27">
      <w:pPr>
        <w:numPr>
          <w:ilvl w:val="0"/>
          <w:numId w:val="2"/>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这些项目或程序的修改或其替代方法；</w:t>
      </w:r>
    </w:p>
    <w:p w14:paraId="7C058066">
      <w:pPr>
        <w:numPr>
          <w:ilvl w:val="0"/>
          <w:numId w:val="2"/>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支付福利或服务的方法、福利或服务标准的修改。</w:t>
      </w:r>
    </w:p>
    <w:p w14:paraId="771D552F">
      <w:pPr>
        <w:numPr>
          <w:ilvl w:val="-1"/>
          <w:numId w:val="0"/>
        </w:numPr>
        <w:spacing w:line="360" w:lineRule="auto"/>
        <w:ind w:left="0" w:firstLine="480" w:firstLineChars="200"/>
        <w:jc w:val="left"/>
        <w:rPr>
          <w:rFonts w:ascii="Times New Roman" w:hAnsi="Times New Roman" w:cs="Times New Roman"/>
          <w:sz w:val="24"/>
          <w:szCs w:val="24"/>
        </w:rPr>
      </w:pPr>
      <w:r>
        <w:rPr>
          <w:rFonts w:hint="default" w:ascii="Calibri" w:hAnsi="Calibri" w:cs="Calibri"/>
          <w:sz w:val="24"/>
          <w:szCs w:val="24"/>
        </w:rPr>
        <w:t>②</w:t>
      </w:r>
      <w:r>
        <w:rPr>
          <w:rFonts w:ascii="Times New Roman" w:hAnsi="Times New Roman" w:cs="Times New Roman"/>
          <w:sz w:val="24"/>
          <w:szCs w:val="24"/>
        </w:rPr>
        <w:t>调查和观察性研究，如果符合下述所有条件，药物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临床试验伦理委员会可以部分或全部免除知情同意：</w:t>
      </w:r>
    </w:p>
    <w:p w14:paraId="3B59F1D2">
      <w:pPr>
        <w:numPr>
          <w:ilvl w:val="0"/>
          <w:numId w:val="3"/>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研究对研究参与者的风险不大于最小风险；</w:t>
      </w:r>
    </w:p>
    <w:p w14:paraId="4D9EED96">
      <w:pPr>
        <w:numPr>
          <w:ilvl w:val="0"/>
          <w:numId w:val="3"/>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免除知情同意不会对研究参与者的权利和健康产生不利的影响；</w:t>
      </w:r>
    </w:p>
    <w:p w14:paraId="2C8A8C79">
      <w:pPr>
        <w:numPr>
          <w:ilvl w:val="0"/>
          <w:numId w:val="3"/>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研究参与者的隐私和机密或匿名得到保证；</w:t>
      </w:r>
    </w:p>
    <w:p w14:paraId="1E8DA517">
      <w:pPr>
        <w:numPr>
          <w:ilvl w:val="0"/>
          <w:numId w:val="3"/>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研究目的是重要的；</w:t>
      </w:r>
    </w:p>
    <w:p w14:paraId="4DCD0B93">
      <w:pPr>
        <w:numPr>
          <w:ilvl w:val="0"/>
          <w:numId w:val="3"/>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若规定需获取知情同意，将使研究不可行；</w:t>
      </w:r>
    </w:p>
    <w:p w14:paraId="1A58A7C7">
      <w:pPr>
        <w:numPr>
          <w:ilvl w:val="0"/>
          <w:numId w:val="3"/>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只要有可能，应在研究后的适当时候向研究参与者提供适当的有关信息。</w:t>
      </w:r>
    </w:p>
    <w:p w14:paraId="38DD9984">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r>
        <w:rPr>
          <w:rFonts w:hint="eastAsia" w:ascii="Times New Roman" w:hAnsi="Times New Roman" w:cs="Times New Roman"/>
          <w:sz w:val="24"/>
          <w:szCs w:val="24"/>
          <w:lang w:eastAsia="zh-CN"/>
        </w:rPr>
        <w:t>）</w:t>
      </w:r>
      <w:r>
        <w:rPr>
          <w:rFonts w:ascii="Times New Roman" w:hAnsi="Times New Roman" w:cs="Times New Roman"/>
          <w:sz w:val="24"/>
          <w:szCs w:val="24"/>
        </w:rPr>
        <w:t>免除部分或全部研究参与者签署书面知情同意的可能情况如下：</w:t>
      </w:r>
    </w:p>
    <w:p w14:paraId="285734B2">
      <w:pPr>
        <w:spacing w:line="360" w:lineRule="auto"/>
        <w:ind w:firstLine="426"/>
        <w:jc w:val="left"/>
        <w:rPr>
          <w:rFonts w:ascii="Times New Roman" w:hAnsi="Times New Roman" w:cs="Times New Roman"/>
          <w:sz w:val="24"/>
          <w:szCs w:val="24"/>
        </w:rPr>
      </w:pPr>
      <w:r>
        <w:rPr>
          <w:rFonts w:hint="default" w:ascii="Calibri" w:hAnsi="Calibri" w:cs="Calibri"/>
          <w:sz w:val="24"/>
          <w:szCs w:val="24"/>
          <w:lang w:eastAsia="zh-CN"/>
        </w:rPr>
        <w:t>①</w:t>
      </w:r>
      <w:r>
        <w:rPr>
          <w:rFonts w:ascii="Times New Roman" w:hAnsi="Times New Roman" w:cs="Times New Roman"/>
          <w:sz w:val="24"/>
          <w:szCs w:val="24"/>
        </w:rPr>
        <w:t>当一份签了字的知情同意书会对研究参与者的隐私构成不正当的威胁，联系研究参与者真实身份和研究的唯一记录是知情同意文件，并且主要风险就来自于破坏机密。在这种情况下，应该遵循每一位研究参与者本人的意愿是否签署书面知情同意文件；</w:t>
      </w:r>
    </w:p>
    <w:p w14:paraId="348D5F0A">
      <w:pPr>
        <w:spacing w:line="360" w:lineRule="auto"/>
        <w:ind w:firstLine="426"/>
        <w:jc w:val="left"/>
        <w:rPr>
          <w:rFonts w:ascii="Times New Roman" w:hAnsi="Times New Roman" w:cs="Times New Roman"/>
          <w:sz w:val="24"/>
          <w:szCs w:val="24"/>
        </w:rPr>
      </w:pPr>
      <w:r>
        <w:rPr>
          <w:rFonts w:hint="default" w:ascii="Calibri" w:hAnsi="Calibri" w:cs="Calibri"/>
          <w:sz w:val="24"/>
          <w:szCs w:val="24"/>
        </w:rPr>
        <w:t>②</w:t>
      </w:r>
      <w:r>
        <w:rPr>
          <w:rFonts w:ascii="Times New Roman" w:hAnsi="Times New Roman" w:cs="Times New Roman"/>
          <w:sz w:val="24"/>
          <w:szCs w:val="24"/>
        </w:rPr>
        <w:t>研究对研究参与者的风险不大于最小风险，并且如果脱离</w:t>
      </w:r>
      <w:r>
        <w:rPr>
          <w:rFonts w:ascii="宋体" w:hAnsi="宋体" w:cs="Times New Roman"/>
          <w:sz w:val="24"/>
          <w:szCs w:val="24"/>
        </w:rPr>
        <w:t>“</w:t>
      </w:r>
      <w:r>
        <w:rPr>
          <w:rFonts w:ascii="Times New Roman" w:hAnsi="Times New Roman" w:cs="Times New Roman"/>
          <w:sz w:val="24"/>
          <w:szCs w:val="24"/>
        </w:rPr>
        <w:t>研究</w:t>
      </w:r>
      <w:r>
        <w:rPr>
          <w:rFonts w:ascii="宋体" w:hAnsi="宋体" w:cs="Times New Roman"/>
          <w:sz w:val="24"/>
          <w:szCs w:val="24"/>
        </w:rPr>
        <w:t>”</w:t>
      </w:r>
      <w:r>
        <w:rPr>
          <w:rFonts w:ascii="Times New Roman" w:hAnsi="Times New Roman" w:cs="Times New Roman"/>
          <w:sz w:val="24"/>
          <w:szCs w:val="24"/>
        </w:rPr>
        <w:t>的背景，相同情况下的行为或程序不要求签署书面知情同意，例如，群体访谈研究，邮件、电话调查或者访谈。</w:t>
      </w:r>
    </w:p>
    <w:p w14:paraId="2E83DC53">
      <w:pPr>
        <w:spacing w:line="360" w:lineRule="auto"/>
        <w:ind w:firstLine="426"/>
        <w:jc w:val="left"/>
        <w:rPr>
          <w:rFonts w:ascii="Times New Roman" w:hAnsi="Times New Roman" w:cs="Times New Roman"/>
          <w:sz w:val="24"/>
          <w:szCs w:val="24"/>
        </w:rPr>
      </w:pPr>
      <w:r>
        <w:rPr>
          <w:rFonts w:ascii="Times New Roman" w:hAnsi="Times New Roman" w:cs="Times New Roman"/>
          <w:sz w:val="24"/>
          <w:szCs w:val="24"/>
        </w:rPr>
        <w:t>对于批准免除签署书面知情同意文件的研究项目，药物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临床试验伦理委员会可以要求研究者向研究参与者提供书面告知信息。</w:t>
      </w:r>
    </w:p>
    <w:p w14:paraId="13A81FE4">
      <w:pPr>
        <w:spacing w:line="360" w:lineRule="auto"/>
        <w:ind w:firstLine="426"/>
        <w:jc w:val="left"/>
        <w:rPr>
          <w:rFonts w:ascii="Times New Roman" w:hAnsi="Times New Roman" w:cs="Times New Roman"/>
          <w:sz w:val="24"/>
          <w:szCs w:val="24"/>
        </w:rPr>
      </w:pPr>
      <w:r>
        <w:rPr>
          <w:rFonts w:ascii="Times New Roman" w:hAnsi="Times New Roman" w:cs="Times New Roman"/>
          <w:sz w:val="24"/>
          <w:szCs w:val="24"/>
        </w:rPr>
        <w:t>7、药物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w:t>
      </w:r>
      <w:r>
        <w:rPr>
          <w:rFonts w:hint="eastAsia" w:ascii="Times New Roman" w:hAnsi="Times New Roman" w:cs="Times New Roman"/>
          <w:sz w:val="24"/>
          <w:szCs w:val="24"/>
        </w:rPr>
        <w:t>办公室</w:t>
      </w:r>
      <w:r>
        <w:rPr>
          <w:rFonts w:ascii="Times New Roman" w:hAnsi="Times New Roman" w:cs="Times New Roman"/>
          <w:sz w:val="24"/>
          <w:szCs w:val="24"/>
        </w:rPr>
        <w:t>联系方式</w:t>
      </w:r>
    </w:p>
    <w:p w14:paraId="7C5FBAA8">
      <w:pPr>
        <w:numPr>
          <w:ilvl w:val="-1"/>
          <w:numId w:val="0"/>
        </w:numPr>
        <w:spacing w:line="360" w:lineRule="auto"/>
        <w:ind w:left="0" w:firstLine="0" w:firstLineChars="0"/>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电话号码：</w:t>
      </w:r>
    </w:p>
    <w:p w14:paraId="72641D5F">
      <w:pPr>
        <w:spacing w:line="360" w:lineRule="auto"/>
        <w:ind w:firstLine="480" w:firstLineChars="200"/>
        <w:jc w:val="left"/>
        <w:rPr>
          <w:rFonts w:hint="eastAsia" w:ascii="Times New Roman" w:hAnsi="Times New Roman" w:cs="Times New Roman"/>
          <w:sz w:val="24"/>
          <w:szCs w:val="24"/>
        </w:rPr>
      </w:pPr>
      <w:r>
        <w:rPr>
          <w:rFonts w:ascii="Times New Roman" w:hAnsi="Times New Roman" w:cs="Times New Roman"/>
          <w:sz w:val="24"/>
          <w:szCs w:val="24"/>
        </w:rPr>
        <w:t>办公室</w:t>
      </w:r>
      <w:r>
        <w:rPr>
          <w:rFonts w:hint="eastAsia" w:ascii="Times New Roman" w:hAnsi="Times New Roman" w:cs="Times New Roman"/>
          <w:sz w:val="24"/>
          <w:szCs w:val="24"/>
        </w:rPr>
        <w:t>：</w:t>
      </w:r>
      <w:r>
        <w:rPr>
          <w:rFonts w:ascii="Times New Roman" w:hAnsi="Times New Roman" w:cs="Times New Roman"/>
          <w:sz w:val="24"/>
          <w:szCs w:val="24"/>
        </w:rPr>
        <w:t>0871-63638422</w:t>
      </w:r>
      <w:r>
        <w:rPr>
          <w:rFonts w:hint="eastAsia" w:ascii="Times New Roman" w:hAnsi="Times New Roman" w:cs="Times New Roman"/>
          <w:sz w:val="24"/>
          <w:szCs w:val="24"/>
        </w:rPr>
        <w:t>；</w:t>
      </w:r>
    </w:p>
    <w:p w14:paraId="08423B54">
      <w:pPr>
        <w:spacing w:line="360" w:lineRule="auto"/>
        <w:ind w:left="1199" w:leftChars="228" w:hanging="720" w:hangingChars="300"/>
        <w:jc w:val="left"/>
        <w:rPr>
          <w:rFonts w:hint="eastAsia" w:ascii="Times New Roman" w:hAnsi="Times New Roman" w:cs="Times New Roman"/>
          <w:sz w:val="24"/>
          <w:szCs w:val="24"/>
        </w:rPr>
      </w:pPr>
      <w:r>
        <w:rPr>
          <w:rFonts w:ascii="Times New Roman" w:hAnsi="Times New Roman" w:cs="Times New Roman"/>
          <w:sz w:val="24"/>
          <w:szCs w:val="24"/>
        </w:rPr>
        <w:t>手机：18313973735 (</w:t>
      </w:r>
      <w:r>
        <w:rPr>
          <w:rFonts w:hint="eastAsia" w:ascii="Times New Roman" w:hAnsi="Times New Roman" w:cs="Times New Roman"/>
          <w:sz w:val="24"/>
          <w:szCs w:val="24"/>
        </w:rPr>
        <w:t>张文焱-药物</w:t>
      </w:r>
      <w:r>
        <w:rPr>
          <w:rFonts w:ascii="Times New Roman" w:hAnsi="Times New Roman" w:cs="Times New Roman"/>
          <w:sz w:val="24"/>
          <w:szCs w:val="24"/>
        </w:rPr>
        <w:t>)</w:t>
      </w:r>
      <w:r>
        <w:rPr>
          <w:rFonts w:hint="eastAsia" w:ascii="Times New Roman" w:hAnsi="Times New Roman" w:cs="Times New Roman"/>
          <w:sz w:val="24"/>
          <w:szCs w:val="24"/>
        </w:rPr>
        <w:t>、</w:t>
      </w:r>
      <w:r>
        <w:rPr>
          <w:rFonts w:ascii="Times New Roman" w:hAnsi="Times New Roman" w:cs="Times New Roman"/>
          <w:sz w:val="24"/>
          <w:szCs w:val="24"/>
        </w:rPr>
        <w:t>18184805462</w:t>
      </w:r>
      <w:r>
        <w:rPr>
          <w:rFonts w:hint="eastAsia" w:ascii="Times New Roman" w:hAnsi="Times New Roman" w:cs="Times New Roman"/>
          <w:sz w:val="24"/>
          <w:szCs w:val="24"/>
        </w:rPr>
        <w:t>（黄丹-药物）、1</w:t>
      </w:r>
      <w:r>
        <w:rPr>
          <w:rFonts w:ascii="Times New Roman" w:hAnsi="Times New Roman" w:cs="Times New Roman"/>
          <w:sz w:val="24"/>
          <w:szCs w:val="24"/>
        </w:rPr>
        <w:t>4787810973</w:t>
      </w:r>
      <w:r>
        <w:rPr>
          <w:rFonts w:hint="eastAsia" w:ascii="Times New Roman" w:hAnsi="Times New Roman" w:cs="Times New Roman"/>
          <w:sz w:val="24"/>
          <w:szCs w:val="24"/>
        </w:rPr>
        <w:t>（尹华仙-医疗器械）</w:t>
      </w:r>
    </w:p>
    <w:p w14:paraId="2021718F">
      <w:pPr>
        <w:numPr>
          <w:ilvl w:val="-1"/>
          <w:numId w:val="0"/>
        </w:numPr>
        <w:spacing w:line="360" w:lineRule="auto"/>
        <w:ind w:firstLine="0" w:firstLineChars="0"/>
        <w:jc w:val="left"/>
        <w:rPr>
          <w:rFonts w:ascii="Times New Roman" w:hAnsi="Times New Roman" w:cs="Times New Roman"/>
          <w:sz w:val="24"/>
          <w:szCs w:val="24"/>
        </w:rPr>
      </w:pPr>
      <w:r>
        <w:rPr>
          <w:rFonts w:hint="eastAsia" w:ascii="Times New Roman" w:hAnsi="Times New Roman" w:cs="Times New Roman"/>
          <w:sz w:val="24"/>
          <w:szCs w:val="24"/>
          <w:lang w:val="en-US" w:eastAsia="zh-CN"/>
        </w:rPr>
        <w:t>E-</w:t>
      </w:r>
      <w:r>
        <w:rPr>
          <w:rFonts w:ascii="Times New Roman" w:hAnsi="Times New Roman" w:cs="Times New Roman"/>
          <w:sz w:val="24"/>
          <w:szCs w:val="24"/>
        </w:rPr>
        <w:t>mail：</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"mailto:khll_yn@163.com" </w:instrText>
      </w:r>
      <w:r>
        <w:rPr>
          <w:rFonts w:ascii="Times New Roman" w:hAnsi="Times New Roman" w:cs="Times New Roman"/>
          <w:sz w:val="24"/>
          <w:szCs w:val="24"/>
        </w:rPr>
        <w:fldChar w:fldCharType="separate"/>
      </w:r>
      <w:r>
        <w:rPr>
          <w:rStyle w:val="9"/>
          <w:rFonts w:ascii="Times New Roman" w:hAnsi="Times New Roman" w:cs="Times New Roman"/>
          <w:sz w:val="24"/>
          <w:szCs w:val="24"/>
        </w:rPr>
        <w:t>khll_yn@163.com</w:t>
      </w:r>
      <w:r>
        <w:rPr>
          <w:rFonts w:ascii="Times New Roman" w:hAnsi="Times New Roman" w:cs="Times New Roman"/>
          <w:sz w:val="24"/>
          <w:szCs w:val="24"/>
        </w:rPr>
        <w:fldChar w:fldCharType="end"/>
      </w:r>
    </w:p>
    <w:p w14:paraId="39F60E85">
      <w:pPr>
        <w:numPr>
          <w:ilvl w:val="-1"/>
          <w:numId w:val="0"/>
        </w:numPr>
        <w:spacing w:line="360" w:lineRule="auto"/>
        <w:ind w:firstLine="0" w:firstLineChars="0"/>
        <w:jc w:val="left"/>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地址：云南省第一人民医院2号门诊楼16楼医学伦理办公室</w:t>
      </w:r>
    </w:p>
    <w:p w14:paraId="5FD08C48">
      <w:pPr>
        <w:widowControl/>
        <w:jc w:val="left"/>
        <w:rPr>
          <w:rFonts w:ascii="Times New Roman" w:hAnsi="Times New Roman" w:cs="Times New Roman"/>
          <w:sz w:val="24"/>
          <w:szCs w:val="24"/>
        </w:rPr>
      </w:pPr>
      <w:bookmarkStart w:id="0" w:name="_GoBack"/>
      <w:bookmarkEnd w:id="0"/>
    </w:p>
    <w:sectPr>
      <w:headerReference r:id="rId3" w:type="default"/>
      <w:footerReference r:id="rId4" w:type="default"/>
      <w:pgSz w:w="11906" w:h="16838"/>
      <w:pgMar w:top="1440" w:right="1077" w:bottom="1440" w:left="107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CE">
    <w:altName w:val="Arial Black"/>
    <w:panose1 w:val="00000000000000000000"/>
    <w:charset w:val="00"/>
    <w:family w:val="swiss"/>
    <w:pitch w:val="default"/>
    <w:sig w:usb0="00000000" w:usb1="00000000" w:usb2="00000000" w:usb3="00000000" w:csb0="00000001" w:csb1="00000000"/>
  </w:font>
  <w:font w:name="Arial Black">
    <w:panose1 w:val="020B0A04020102020204"/>
    <w:charset w:val="00"/>
    <w:family w:val="auto"/>
    <w:pitch w:val="default"/>
    <w:sig w:usb0="A00002AF" w:usb1="4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79181"/>
    </w:sdtPr>
    <w:sdtContent>
      <w:sdt>
        <w:sdtPr>
          <w:id w:val="-1669238322"/>
        </w:sdtPr>
        <w:sdtContent>
          <w:p w14:paraId="2854A483">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28</w:t>
            </w:r>
            <w:r>
              <w:rPr>
                <w:b/>
                <w:bCs/>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867D9">
    <w:pPr>
      <w:pStyle w:val="5"/>
      <w:pBdr>
        <w:bottom w:val="none" w:color="auto" w:sz="0" w:space="15"/>
      </w:pBdr>
      <w:jc w:val="left"/>
      <w:rPr>
        <w:rFonts w:ascii="Times New Roman" w:hAnsi="Times New Roman" w:cs="Times New Roman"/>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E94BD8"/>
    <w:multiLevelType w:val="singleLevel"/>
    <w:tmpl w:val="83E94BD8"/>
    <w:lvl w:ilvl="0" w:tentative="0">
      <w:start w:val="1"/>
      <w:numFmt w:val="bullet"/>
      <w:lvlText w:val=""/>
      <w:lvlJc w:val="left"/>
      <w:pPr>
        <w:ind w:left="420" w:hanging="420"/>
      </w:pPr>
      <w:rPr>
        <w:rFonts w:hint="default" w:ascii="Wingdings" w:hAnsi="Wingdings"/>
      </w:rPr>
    </w:lvl>
  </w:abstractNum>
  <w:abstractNum w:abstractNumId="1">
    <w:nsid w:val="66414496"/>
    <w:multiLevelType w:val="singleLevel"/>
    <w:tmpl w:val="66414496"/>
    <w:lvl w:ilvl="0" w:tentative="0">
      <w:start w:val="1"/>
      <w:numFmt w:val="bullet"/>
      <w:lvlText w:val=""/>
      <w:lvlJc w:val="left"/>
      <w:pPr>
        <w:ind w:left="420" w:hanging="420"/>
      </w:pPr>
      <w:rPr>
        <w:rFonts w:hint="default" w:ascii="Wingdings" w:hAnsi="Wingdings"/>
      </w:rPr>
    </w:lvl>
  </w:abstractNum>
  <w:abstractNum w:abstractNumId="2">
    <w:nsid w:val="7C2C5AAD"/>
    <w:multiLevelType w:val="singleLevel"/>
    <w:tmpl w:val="7C2C5AAD"/>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0ZmIwYTQ3NzlmZGUxZmU3Zjk0M2IyZTNmM2IxNjAifQ=="/>
  </w:docVars>
  <w:rsids>
    <w:rsidRoot w:val="00A117A9"/>
    <w:rsid w:val="000145D3"/>
    <w:rsid w:val="0002550E"/>
    <w:rsid w:val="00033371"/>
    <w:rsid w:val="00033B3A"/>
    <w:rsid w:val="000357A6"/>
    <w:rsid w:val="00066411"/>
    <w:rsid w:val="00072862"/>
    <w:rsid w:val="00095FA6"/>
    <w:rsid w:val="000A6698"/>
    <w:rsid w:val="000C0C76"/>
    <w:rsid w:val="001145F2"/>
    <w:rsid w:val="001156C3"/>
    <w:rsid w:val="00115C50"/>
    <w:rsid w:val="00121BEB"/>
    <w:rsid w:val="00134961"/>
    <w:rsid w:val="00176609"/>
    <w:rsid w:val="00185E91"/>
    <w:rsid w:val="00186599"/>
    <w:rsid w:val="001B3394"/>
    <w:rsid w:val="001C7304"/>
    <w:rsid w:val="001D01FC"/>
    <w:rsid w:val="001D0A0D"/>
    <w:rsid w:val="001D2B64"/>
    <w:rsid w:val="001E0868"/>
    <w:rsid w:val="002073B3"/>
    <w:rsid w:val="00232152"/>
    <w:rsid w:val="0024191E"/>
    <w:rsid w:val="0025093C"/>
    <w:rsid w:val="002531B2"/>
    <w:rsid w:val="002542F2"/>
    <w:rsid w:val="00255F35"/>
    <w:rsid w:val="00274B1B"/>
    <w:rsid w:val="002773ED"/>
    <w:rsid w:val="002961E1"/>
    <w:rsid w:val="002A408A"/>
    <w:rsid w:val="002A7297"/>
    <w:rsid w:val="002C4A3F"/>
    <w:rsid w:val="002C5E34"/>
    <w:rsid w:val="002D6936"/>
    <w:rsid w:val="002F2AC8"/>
    <w:rsid w:val="00310840"/>
    <w:rsid w:val="00331011"/>
    <w:rsid w:val="00332AC4"/>
    <w:rsid w:val="00333E63"/>
    <w:rsid w:val="00336B70"/>
    <w:rsid w:val="00341C03"/>
    <w:rsid w:val="00361F42"/>
    <w:rsid w:val="00365154"/>
    <w:rsid w:val="00365D09"/>
    <w:rsid w:val="00387A52"/>
    <w:rsid w:val="00391340"/>
    <w:rsid w:val="00392DD3"/>
    <w:rsid w:val="00396577"/>
    <w:rsid w:val="003A11CB"/>
    <w:rsid w:val="003A6BB5"/>
    <w:rsid w:val="003C2A0A"/>
    <w:rsid w:val="003D2D46"/>
    <w:rsid w:val="003E3B3B"/>
    <w:rsid w:val="003E743F"/>
    <w:rsid w:val="003F5973"/>
    <w:rsid w:val="003F6ADE"/>
    <w:rsid w:val="003F6B36"/>
    <w:rsid w:val="00404F11"/>
    <w:rsid w:val="0041006A"/>
    <w:rsid w:val="00430054"/>
    <w:rsid w:val="00435948"/>
    <w:rsid w:val="00441AD5"/>
    <w:rsid w:val="00453806"/>
    <w:rsid w:val="00463FFF"/>
    <w:rsid w:val="0046500A"/>
    <w:rsid w:val="0048495D"/>
    <w:rsid w:val="00486C75"/>
    <w:rsid w:val="004910B0"/>
    <w:rsid w:val="00491F9B"/>
    <w:rsid w:val="00494CFB"/>
    <w:rsid w:val="00495132"/>
    <w:rsid w:val="004C4E97"/>
    <w:rsid w:val="004E2776"/>
    <w:rsid w:val="004E646E"/>
    <w:rsid w:val="004F2233"/>
    <w:rsid w:val="0051711F"/>
    <w:rsid w:val="005500C1"/>
    <w:rsid w:val="005A1CD8"/>
    <w:rsid w:val="005C1343"/>
    <w:rsid w:val="005C2895"/>
    <w:rsid w:val="005E23D4"/>
    <w:rsid w:val="005E4858"/>
    <w:rsid w:val="0060289E"/>
    <w:rsid w:val="00611327"/>
    <w:rsid w:val="00624268"/>
    <w:rsid w:val="00626A5B"/>
    <w:rsid w:val="006416A3"/>
    <w:rsid w:val="00641B16"/>
    <w:rsid w:val="00646772"/>
    <w:rsid w:val="0064793C"/>
    <w:rsid w:val="00647FBF"/>
    <w:rsid w:val="00652EA5"/>
    <w:rsid w:val="00654F49"/>
    <w:rsid w:val="0067549D"/>
    <w:rsid w:val="0068264E"/>
    <w:rsid w:val="00682EEF"/>
    <w:rsid w:val="00683AFA"/>
    <w:rsid w:val="00690482"/>
    <w:rsid w:val="00691C14"/>
    <w:rsid w:val="00691C3D"/>
    <w:rsid w:val="006C34A5"/>
    <w:rsid w:val="006D1C71"/>
    <w:rsid w:val="006F7766"/>
    <w:rsid w:val="0070379E"/>
    <w:rsid w:val="00723669"/>
    <w:rsid w:val="00731017"/>
    <w:rsid w:val="00741B94"/>
    <w:rsid w:val="00753A85"/>
    <w:rsid w:val="007579EA"/>
    <w:rsid w:val="0078094D"/>
    <w:rsid w:val="00787A6F"/>
    <w:rsid w:val="007D0E7C"/>
    <w:rsid w:val="007E0E9E"/>
    <w:rsid w:val="00802613"/>
    <w:rsid w:val="0081327D"/>
    <w:rsid w:val="00815F85"/>
    <w:rsid w:val="0082563A"/>
    <w:rsid w:val="00850E84"/>
    <w:rsid w:val="00877551"/>
    <w:rsid w:val="008A1EC4"/>
    <w:rsid w:val="008B3F41"/>
    <w:rsid w:val="008E3D40"/>
    <w:rsid w:val="0090389C"/>
    <w:rsid w:val="00913122"/>
    <w:rsid w:val="009201D9"/>
    <w:rsid w:val="00931079"/>
    <w:rsid w:val="00944F6B"/>
    <w:rsid w:val="00952582"/>
    <w:rsid w:val="0095282A"/>
    <w:rsid w:val="0095361A"/>
    <w:rsid w:val="009548DF"/>
    <w:rsid w:val="00970081"/>
    <w:rsid w:val="009742BD"/>
    <w:rsid w:val="00975464"/>
    <w:rsid w:val="009A1552"/>
    <w:rsid w:val="009A1F70"/>
    <w:rsid w:val="009A7257"/>
    <w:rsid w:val="009B4CB7"/>
    <w:rsid w:val="009C3754"/>
    <w:rsid w:val="009C6242"/>
    <w:rsid w:val="009D0CB6"/>
    <w:rsid w:val="009F50C6"/>
    <w:rsid w:val="009F5D4E"/>
    <w:rsid w:val="00A011FD"/>
    <w:rsid w:val="00A117A9"/>
    <w:rsid w:val="00A26182"/>
    <w:rsid w:val="00A800E1"/>
    <w:rsid w:val="00A95400"/>
    <w:rsid w:val="00A97639"/>
    <w:rsid w:val="00AD040E"/>
    <w:rsid w:val="00B22C6C"/>
    <w:rsid w:val="00B339DF"/>
    <w:rsid w:val="00B37428"/>
    <w:rsid w:val="00B41A97"/>
    <w:rsid w:val="00B53810"/>
    <w:rsid w:val="00B74E0B"/>
    <w:rsid w:val="00B82FDF"/>
    <w:rsid w:val="00B83E4E"/>
    <w:rsid w:val="00B93B3D"/>
    <w:rsid w:val="00BC2E24"/>
    <w:rsid w:val="00BE202A"/>
    <w:rsid w:val="00BE77CC"/>
    <w:rsid w:val="00C02E86"/>
    <w:rsid w:val="00C1346B"/>
    <w:rsid w:val="00C230A9"/>
    <w:rsid w:val="00C352D5"/>
    <w:rsid w:val="00C41979"/>
    <w:rsid w:val="00C4751E"/>
    <w:rsid w:val="00C500C4"/>
    <w:rsid w:val="00C5363A"/>
    <w:rsid w:val="00C571B8"/>
    <w:rsid w:val="00C602DF"/>
    <w:rsid w:val="00C61991"/>
    <w:rsid w:val="00C6687E"/>
    <w:rsid w:val="00C90DA4"/>
    <w:rsid w:val="00C97130"/>
    <w:rsid w:val="00CA07FE"/>
    <w:rsid w:val="00CA239D"/>
    <w:rsid w:val="00CB5982"/>
    <w:rsid w:val="00CB6274"/>
    <w:rsid w:val="00CB7E38"/>
    <w:rsid w:val="00CC579E"/>
    <w:rsid w:val="00CD29E9"/>
    <w:rsid w:val="00CE6112"/>
    <w:rsid w:val="00CF1B52"/>
    <w:rsid w:val="00D06550"/>
    <w:rsid w:val="00D263A5"/>
    <w:rsid w:val="00D441FF"/>
    <w:rsid w:val="00D474EF"/>
    <w:rsid w:val="00D51415"/>
    <w:rsid w:val="00D65DF3"/>
    <w:rsid w:val="00D847A6"/>
    <w:rsid w:val="00D85B67"/>
    <w:rsid w:val="00D968B1"/>
    <w:rsid w:val="00DA5F3E"/>
    <w:rsid w:val="00DB46E0"/>
    <w:rsid w:val="00DB65D0"/>
    <w:rsid w:val="00DD652A"/>
    <w:rsid w:val="00E16195"/>
    <w:rsid w:val="00E25399"/>
    <w:rsid w:val="00E53CD4"/>
    <w:rsid w:val="00E74E72"/>
    <w:rsid w:val="00E84CAC"/>
    <w:rsid w:val="00E96EED"/>
    <w:rsid w:val="00EA2248"/>
    <w:rsid w:val="00EA705F"/>
    <w:rsid w:val="00EB6C68"/>
    <w:rsid w:val="00EC3B2F"/>
    <w:rsid w:val="00EF220B"/>
    <w:rsid w:val="00EF6D41"/>
    <w:rsid w:val="00F12932"/>
    <w:rsid w:val="00F32637"/>
    <w:rsid w:val="00F32AE7"/>
    <w:rsid w:val="00F3549B"/>
    <w:rsid w:val="00F55F48"/>
    <w:rsid w:val="00F64965"/>
    <w:rsid w:val="00F70D8D"/>
    <w:rsid w:val="00F76015"/>
    <w:rsid w:val="00F80C18"/>
    <w:rsid w:val="00F90997"/>
    <w:rsid w:val="00FA683C"/>
    <w:rsid w:val="025911C4"/>
    <w:rsid w:val="05A040A8"/>
    <w:rsid w:val="0C46230E"/>
    <w:rsid w:val="0D444B80"/>
    <w:rsid w:val="0DC22901"/>
    <w:rsid w:val="10336109"/>
    <w:rsid w:val="124110FF"/>
    <w:rsid w:val="12736B0D"/>
    <w:rsid w:val="1E115234"/>
    <w:rsid w:val="21DC0084"/>
    <w:rsid w:val="23C24A7B"/>
    <w:rsid w:val="281B5725"/>
    <w:rsid w:val="2A9A2E5C"/>
    <w:rsid w:val="2F7A328B"/>
    <w:rsid w:val="318F6462"/>
    <w:rsid w:val="31911E5F"/>
    <w:rsid w:val="342734B6"/>
    <w:rsid w:val="34CA46DE"/>
    <w:rsid w:val="3BDF7FE6"/>
    <w:rsid w:val="3C0C6DC5"/>
    <w:rsid w:val="3EC71E07"/>
    <w:rsid w:val="3EF23B8C"/>
    <w:rsid w:val="493E7972"/>
    <w:rsid w:val="54C3004D"/>
    <w:rsid w:val="55FB146D"/>
    <w:rsid w:val="5E213EAC"/>
    <w:rsid w:val="61FF23A5"/>
    <w:rsid w:val="6445282D"/>
    <w:rsid w:val="661204ED"/>
    <w:rsid w:val="67D13BFA"/>
    <w:rsid w:val="6FA03C5C"/>
    <w:rsid w:val="73AD5000"/>
    <w:rsid w:val="742C4F13"/>
    <w:rsid w:val="75D128B2"/>
    <w:rsid w:val="78BD3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5"/>
    <w:autoRedefine/>
    <w:unhideWhenUsed/>
    <w:qFormat/>
    <w:uiPriority w:val="0"/>
    <w:rPr>
      <w:rFonts w:ascii="宋体" w:hAnsi="Courier New" w:eastAsia="宋体" w:cs="Courier New"/>
      <w:szCs w:val="21"/>
    </w:rPr>
  </w:style>
  <w:style w:type="paragraph" w:styleId="3">
    <w:name w:val="Balloon Text"/>
    <w:basedOn w:val="1"/>
    <w:link w:val="17"/>
    <w:autoRedefine/>
    <w:semiHidden/>
    <w:unhideWhenUsed/>
    <w:qFormat/>
    <w:uiPriority w:val="99"/>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paragraph" w:styleId="10">
    <w:name w:val="List Paragraph"/>
    <w:basedOn w:val="1"/>
    <w:autoRedefine/>
    <w:qFormat/>
    <w:uiPriority w:val="34"/>
    <w:pPr>
      <w:ind w:firstLine="420" w:firstLineChars="200"/>
    </w:pPr>
  </w:style>
  <w:style w:type="character" w:customStyle="1" w:styleId="11">
    <w:name w:val="页眉 字符"/>
    <w:basedOn w:val="8"/>
    <w:link w:val="5"/>
    <w:autoRedefine/>
    <w:qFormat/>
    <w:uiPriority w:val="99"/>
    <w:rPr>
      <w:sz w:val="18"/>
      <w:szCs w:val="18"/>
    </w:rPr>
  </w:style>
  <w:style w:type="character" w:customStyle="1" w:styleId="12">
    <w:name w:val="页脚 字符"/>
    <w:basedOn w:val="8"/>
    <w:link w:val="4"/>
    <w:autoRedefine/>
    <w:qFormat/>
    <w:uiPriority w:val="99"/>
    <w:rPr>
      <w:sz w:val="18"/>
      <w:szCs w:val="18"/>
    </w:rPr>
  </w:style>
  <w:style w:type="character" w:customStyle="1" w:styleId="13">
    <w:name w:val="未处理的提及1"/>
    <w:basedOn w:val="8"/>
    <w:autoRedefine/>
    <w:semiHidden/>
    <w:unhideWhenUsed/>
    <w:qFormat/>
    <w:uiPriority w:val="99"/>
    <w:rPr>
      <w:color w:val="605E5C"/>
      <w:shd w:val="clear" w:color="auto" w:fill="E1DFDD"/>
    </w:rPr>
  </w:style>
  <w:style w:type="table" w:customStyle="1" w:styleId="14">
    <w:name w:val="lock"/>
    <w:basedOn w:val="6"/>
    <w:autoRedefine/>
    <w:qFormat/>
    <w:uiPriority w:val="0"/>
    <w:pPr>
      <w:jc w:val="both"/>
    </w:pPr>
    <w:rPr>
      <w:rFonts w:ascii="Times New Roman" w:hAnsi="Times New Roman" w:eastAsia="宋体" w:cs="Times New Roman"/>
    </w:rPr>
    <w:tblP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
    <w:tcPr>
      <w:vAlign w:val="center"/>
    </w:tcPr>
    <w:tblStylePr w:type="firstCol">
      <w:pPr>
        <w:jc w:val="center"/>
      </w:pPr>
    </w:tblStylePr>
  </w:style>
  <w:style w:type="character" w:customStyle="1" w:styleId="15">
    <w:name w:val="纯文本 字符"/>
    <w:basedOn w:val="8"/>
    <w:link w:val="2"/>
    <w:autoRedefine/>
    <w:qFormat/>
    <w:uiPriority w:val="0"/>
    <w:rPr>
      <w:rFonts w:ascii="宋体" w:hAnsi="Courier New" w:eastAsia="宋体" w:cs="Courier New"/>
      <w:szCs w:val="21"/>
    </w:rPr>
  </w:style>
  <w:style w:type="paragraph" w:customStyle="1" w:styleId="16">
    <w:name w:val="样式"/>
    <w:autoRedefine/>
    <w:qFormat/>
    <w:uiPriority w:val="0"/>
    <w:pPr>
      <w:widowControl w:val="0"/>
      <w:autoSpaceDE w:val="0"/>
      <w:autoSpaceDN w:val="0"/>
      <w:adjustRightInd w:val="0"/>
    </w:pPr>
    <w:rPr>
      <w:rFonts w:ascii="Arial" w:hAnsi="Arial" w:eastAsia="宋体" w:cs="Arial"/>
      <w:sz w:val="24"/>
      <w:szCs w:val="24"/>
      <w:lang w:val="en-US" w:eastAsia="zh-CN" w:bidi="ar-SA"/>
    </w:rPr>
  </w:style>
  <w:style w:type="character" w:customStyle="1" w:styleId="17">
    <w:name w:val="批注框文本 字符"/>
    <w:basedOn w:val="8"/>
    <w:link w:val="3"/>
    <w:autoRedefine/>
    <w:semiHidden/>
    <w:qFormat/>
    <w:uiPriority w:val="99"/>
    <w:rPr>
      <w:sz w:val="18"/>
      <w:szCs w:val="18"/>
    </w:rPr>
  </w:style>
  <w:style w:type="paragraph" w:customStyle="1" w:styleId="18">
    <w:name w:val="Revision"/>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9">
    <w:name w:val="Default"/>
    <w:qFormat/>
    <w:uiPriority w:val="0"/>
    <w:pPr>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CEF68-0ACE-4257-B5A3-8F0CE71B993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2631</Words>
  <Characters>2779</Characters>
  <Lines>144</Lines>
  <Paragraphs>40</Paragraphs>
  <TotalTime>99</TotalTime>
  <ScaleCrop>false</ScaleCrop>
  <LinksUpToDate>false</LinksUpToDate>
  <CharactersWithSpaces>2781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2024-07-27T03:26:00Z</dcterms:created>
  <dc:creator>Lenik</dc:creator>
  <cp:lastModifiedBy>黄丹</cp:lastModifiedBy>
  <cp:lastPrinted>2025-02-27T03:40:00Z</cp:lastPrinted>
  <dcterms:modified xsi:type="dcterms:W3CDTF">2025-02-28T01:52:01Z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D7C02159ECB44630A33D86912A7243EF_13</vt:lpwstr>
  </property>
  <property fmtid="{D5CDD505-2E9C-101B-9397-08002B2CF9AE}" pid="4" name="KSOTemplateDocerSaveRecord">
    <vt:lpwstr>eyJoZGlkIjoiZjExNjBhZjNmM2RiMTkwMTc1NjA2NmQ3OWY0Mjc3YjIiLCJ1c2VySWQiOiI0MzY0NjQ3ODkifQ==</vt:lpwstr>
  </property>
</Properties>
</file>